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lang w:eastAsia="zh-CN"/>
        </w:rPr>
      </w:pPr>
      <w:r>
        <w:rPr>
          <w:rFonts w:hint="eastAsia"/>
          <w:b/>
          <w:sz w:val="28"/>
          <w:szCs w:val="28"/>
          <w:lang w:eastAsia="zh-CN"/>
        </w:rPr>
        <w:t>一般公共预算财政拨款“三公”经费支出决算表</w:t>
      </w:r>
    </w:p>
    <w:p>
      <w:pPr>
        <w:ind w:firstLine="551" w:firstLineChars="196"/>
        <w:jc w:val="right"/>
        <w:rPr>
          <w:rFonts w:hint="eastAsia"/>
          <w:b w:val="0"/>
          <w:bCs/>
          <w:sz w:val="21"/>
          <w:szCs w:val="21"/>
          <w:lang w:val="en-US" w:eastAsia="zh-CN"/>
        </w:rPr>
      </w:pPr>
      <w:r>
        <w:rPr>
          <w:rFonts w:hint="eastAsia"/>
          <w:b/>
          <w:sz w:val="28"/>
          <w:szCs w:val="28"/>
          <w:lang w:eastAsia="zh-CN"/>
        </w:rPr>
        <w:t>　</w:t>
      </w:r>
      <w:r>
        <w:rPr>
          <w:rFonts w:hint="eastAsia"/>
          <w:b/>
          <w:sz w:val="28"/>
          <w:szCs w:val="28"/>
          <w:lang w:eastAsia="zh-CN"/>
        </w:rPr>
        <w:tab/>
      </w:r>
      <w:r>
        <w:rPr>
          <w:rFonts w:hint="eastAsia"/>
          <w:b/>
          <w:sz w:val="28"/>
          <w:szCs w:val="28"/>
          <w:lang w:eastAsia="zh-CN"/>
        </w:rPr>
        <w:t>　</w:t>
      </w:r>
      <w:r>
        <w:rPr>
          <w:rFonts w:hint="eastAsia"/>
          <w:b/>
          <w:sz w:val="28"/>
          <w:szCs w:val="28"/>
          <w:lang w:eastAsia="zh-CN"/>
        </w:rPr>
        <w:tab/>
      </w:r>
      <w:r>
        <w:rPr>
          <w:rFonts w:hint="eastAsia"/>
          <w:b/>
          <w:sz w:val="28"/>
          <w:szCs w:val="28"/>
          <w:lang w:eastAsia="zh-CN"/>
        </w:rPr>
        <w:t>　</w:t>
      </w:r>
      <w:r>
        <w:rPr>
          <w:rFonts w:hint="eastAsia"/>
          <w:b/>
          <w:sz w:val="28"/>
          <w:szCs w:val="28"/>
          <w:lang w:eastAsia="zh-CN"/>
        </w:rPr>
        <w:tab/>
      </w:r>
      <w:r>
        <w:rPr>
          <w:rFonts w:hint="eastAsia"/>
          <w:b/>
          <w:sz w:val="28"/>
          <w:szCs w:val="28"/>
          <w:lang w:eastAsia="zh-CN"/>
        </w:rPr>
        <w:t>　</w:t>
      </w:r>
      <w:r>
        <w:rPr>
          <w:rFonts w:hint="eastAsia"/>
          <w:b/>
          <w:sz w:val="28"/>
          <w:szCs w:val="28"/>
          <w:lang w:eastAsia="zh-CN"/>
        </w:rPr>
        <w:tab/>
      </w:r>
      <w:r>
        <w:rPr>
          <w:rFonts w:hint="eastAsia"/>
          <w:b/>
          <w:sz w:val="28"/>
          <w:szCs w:val="28"/>
          <w:lang w:eastAsia="zh-CN"/>
        </w:rPr>
        <w:t>　</w:t>
      </w:r>
      <w:r>
        <w:rPr>
          <w:rFonts w:hint="eastAsia"/>
          <w:b/>
          <w:sz w:val="28"/>
          <w:szCs w:val="28"/>
          <w:lang w:eastAsia="zh-CN"/>
        </w:rPr>
        <w:tab/>
      </w:r>
      <w:r>
        <w:rPr>
          <w:rFonts w:hint="eastAsia"/>
          <w:b/>
          <w:sz w:val="28"/>
          <w:szCs w:val="28"/>
          <w:lang w:eastAsia="zh-CN"/>
        </w:rPr>
        <w:t>　</w:t>
      </w:r>
      <w:r>
        <w:rPr>
          <w:rFonts w:hint="eastAsia"/>
          <w:b/>
          <w:sz w:val="28"/>
          <w:szCs w:val="28"/>
          <w:lang w:eastAsia="zh-CN"/>
        </w:rPr>
        <w:tab/>
      </w:r>
      <w:r>
        <w:rPr>
          <w:rFonts w:hint="eastAsia"/>
          <w:b/>
          <w:sz w:val="28"/>
          <w:szCs w:val="28"/>
          <w:lang w:eastAsia="zh-CN"/>
        </w:rPr>
        <w:t>　</w:t>
      </w:r>
      <w:r>
        <w:rPr>
          <w:rFonts w:hint="eastAsia"/>
          <w:b/>
          <w:sz w:val="28"/>
          <w:szCs w:val="28"/>
          <w:lang w:eastAsia="zh-CN"/>
        </w:rPr>
        <w:tab/>
      </w:r>
      <w:r>
        <w:rPr>
          <w:rFonts w:hint="eastAsia"/>
          <w:b/>
          <w:sz w:val="28"/>
          <w:szCs w:val="28"/>
          <w:lang w:eastAsia="zh-CN"/>
        </w:rPr>
        <w:t>　</w:t>
      </w:r>
      <w:r>
        <w:rPr>
          <w:rFonts w:hint="eastAsia"/>
          <w:b/>
          <w:sz w:val="28"/>
          <w:szCs w:val="28"/>
          <w:lang w:eastAsia="zh-CN"/>
        </w:rPr>
        <w:tab/>
      </w:r>
      <w:r>
        <w:rPr>
          <w:rFonts w:hint="eastAsia"/>
          <w:b/>
          <w:sz w:val="28"/>
          <w:szCs w:val="28"/>
          <w:lang w:eastAsia="zh-CN"/>
        </w:rPr>
        <w:t>　</w:t>
      </w:r>
      <w:r>
        <w:rPr>
          <w:rFonts w:hint="eastAsia"/>
          <w:b/>
          <w:sz w:val="28"/>
          <w:szCs w:val="28"/>
          <w:lang w:eastAsia="zh-CN"/>
        </w:rPr>
        <w:tab/>
      </w:r>
      <w:r>
        <w:rPr>
          <w:rFonts w:hint="eastAsia"/>
          <w:b w:val="0"/>
          <w:bCs/>
          <w:sz w:val="21"/>
          <w:szCs w:val="21"/>
          <w:lang w:val="en-US" w:eastAsia="zh-CN"/>
        </w:rPr>
        <w:t>公开07表</w:t>
      </w:r>
    </w:p>
    <w:p>
      <w:pPr>
        <w:jc w:val="center"/>
        <w:rPr>
          <w:rFonts w:hint="eastAsia" w:ascii="宋体" w:hAnsi="宋体" w:eastAsia="宋体" w:cs="宋体"/>
          <w:b/>
          <w:sz w:val="22"/>
          <w:szCs w:val="22"/>
          <w:lang w:eastAsia="zh-CN"/>
        </w:rPr>
      </w:pPr>
      <w:r>
        <w:rPr>
          <w:rFonts w:hint="eastAsia"/>
          <w:b w:val="0"/>
          <w:bCs/>
          <w:sz w:val="21"/>
          <w:szCs w:val="21"/>
          <w:lang w:eastAsia="zh-CN"/>
        </w:rPr>
        <w:t>部门：桃源县环境卫生服务中心</w:t>
      </w:r>
      <w:r>
        <w:rPr>
          <w:rFonts w:hint="eastAsia"/>
          <w:b w:val="0"/>
          <w:bCs/>
          <w:sz w:val="21"/>
          <w:szCs w:val="21"/>
          <w:lang w:val="en-US" w:eastAsia="zh-CN"/>
        </w:rPr>
        <w:t xml:space="preserve">                                         单位：万元</w:t>
      </w:r>
    </w:p>
    <w:tbl>
      <w:tblPr>
        <w:tblStyle w:val="2"/>
        <w:tblW w:w="0" w:type="auto"/>
        <w:jc w:val="center"/>
        <w:tblLayout w:type="fixed"/>
        <w:tblCellMar>
          <w:top w:w="0" w:type="dxa"/>
          <w:left w:w="108" w:type="dxa"/>
          <w:bottom w:w="0" w:type="dxa"/>
          <w:right w:w="108" w:type="dxa"/>
        </w:tblCellMar>
      </w:tblPr>
      <w:tblGrid>
        <w:gridCol w:w="880"/>
        <w:gridCol w:w="840"/>
        <w:gridCol w:w="825"/>
        <w:gridCol w:w="975"/>
        <w:gridCol w:w="775"/>
        <w:gridCol w:w="829"/>
        <w:gridCol w:w="833"/>
        <w:gridCol w:w="846"/>
        <w:gridCol w:w="711"/>
        <w:gridCol w:w="1201"/>
        <w:gridCol w:w="1122"/>
        <w:gridCol w:w="773"/>
      </w:tblGrid>
      <w:tr>
        <w:tblPrEx>
          <w:tblCellMar>
            <w:top w:w="0" w:type="dxa"/>
            <w:left w:w="108" w:type="dxa"/>
            <w:bottom w:w="0" w:type="dxa"/>
            <w:right w:w="108" w:type="dxa"/>
          </w:tblCellMar>
        </w:tblPrEx>
        <w:trPr>
          <w:trHeight w:val="567" w:hRule="atLeast"/>
          <w:jc w:val="center"/>
        </w:trPr>
        <w:tc>
          <w:tcPr>
            <w:tcW w:w="5124" w:type="dxa"/>
            <w:gridSpan w:val="6"/>
            <w:tcBorders>
              <w:top w:val="single" w:color="auto" w:sz="8" w:space="0"/>
              <w:left w:val="single" w:color="auto" w:sz="8" w:space="0"/>
              <w:bottom w:val="single" w:color="auto" w:sz="4" w:space="0"/>
              <w:right w:val="single" w:color="000000" w:sz="4" w:space="0"/>
            </w:tcBorders>
            <w:noWrap w:val="0"/>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预算数</w:t>
            </w:r>
          </w:p>
        </w:tc>
        <w:tc>
          <w:tcPr>
            <w:tcW w:w="5486" w:type="dxa"/>
            <w:gridSpan w:val="6"/>
            <w:tcBorders>
              <w:top w:val="single" w:color="auto" w:sz="8" w:space="0"/>
              <w:left w:val="nil"/>
              <w:bottom w:val="single" w:color="auto" w:sz="4" w:space="0"/>
              <w:right w:val="single" w:color="000000" w:sz="8" w:space="0"/>
            </w:tcBorders>
            <w:noWrap w:val="0"/>
            <w:vAlign w:val="center"/>
          </w:tcPr>
          <w:p>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决算数</w:t>
            </w:r>
          </w:p>
        </w:tc>
      </w:tr>
      <w:tr>
        <w:tblPrEx>
          <w:tblCellMar>
            <w:top w:w="0" w:type="dxa"/>
            <w:left w:w="108" w:type="dxa"/>
            <w:bottom w:w="0" w:type="dxa"/>
            <w:right w:w="108" w:type="dxa"/>
          </w:tblCellMar>
        </w:tblPrEx>
        <w:trPr>
          <w:trHeight w:val="567" w:hRule="atLeast"/>
          <w:jc w:val="center"/>
        </w:trPr>
        <w:tc>
          <w:tcPr>
            <w:tcW w:w="880" w:type="dxa"/>
            <w:vMerge w:val="restart"/>
            <w:tcBorders>
              <w:top w:val="nil"/>
              <w:left w:val="single" w:color="auto" w:sz="8" w:space="0"/>
              <w:bottom w:val="single" w:color="000000" w:sz="4" w:space="0"/>
              <w:right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合计</w:t>
            </w:r>
          </w:p>
        </w:tc>
        <w:tc>
          <w:tcPr>
            <w:tcW w:w="8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因公出国（境）费</w:t>
            </w:r>
          </w:p>
        </w:tc>
        <w:tc>
          <w:tcPr>
            <w:tcW w:w="2575"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公务用车购置及运行费</w:t>
            </w:r>
          </w:p>
        </w:tc>
        <w:tc>
          <w:tcPr>
            <w:tcW w:w="8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公务接待费</w:t>
            </w:r>
          </w:p>
        </w:tc>
        <w:tc>
          <w:tcPr>
            <w:tcW w:w="833" w:type="dxa"/>
            <w:vMerge w:val="restart"/>
            <w:tcBorders>
              <w:top w:val="nil"/>
              <w:left w:val="nil"/>
              <w:bottom w:val="single" w:color="000000" w:sz="4" w:space="0"/>
              <w:right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合计</w:t>
            </w:r>
          </w:p>
        </w:tc>
        <w:tc>
          <w:tcPr>
            <w:tcW w:w="84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因公出国（境）费</w:t>
            </w:r>
          </w:p>
        </w:tc>
        <w:tc>
          <w:tcPr>
            <w:tcW w:w="3034"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公务用车购置及运行费</w:t>
            </w:r>
          </w:p>
        </w:tc>
        <w:tc>
          <w:tcPr>
            <w:tcW w:w="773" w:type="dxa"/>
            <w:vMerge w:val="restart"/>
            <w:tcBorders>
              <w:top w:val="nil"/>
              <w:left w:val="single" w:color="auto" w:sz="4" w:space="0"/>
              <w:bottom w:val="single" w:color="000000" w:sz="4" w:space="0"/>
              <w:right w:val="single" w:color="auto"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公务接待费</w:t>
            </w:r>
          </w:p>
        </w:tc>
      </w:tr>
      <w:tr>
        <w:tblPrEx>
          <w:tblCellMar>
            <w:top w:w="0" w:type="dxa"/>
            <w:left w:w="108" w:type="dxa"/>
            <w:bottom w:w="0" w:type="dxa"/>
            <w:right w:w="108" w:type="dxa"/>
          </w:tblCellMar>
        </w:tblPrEx>
        <w:trPr>
          <w:trHeight w:val="567" w:hRule="atLeast"/>
          <w:jc w:val="center"/>
        </w:trPr>
        <w:tc>
          <w:tcPr>
            <w:tcW w:w="880" w:type="dxa"/>
            <w:vMerge w:val="continue"/>
            <w:tcBorders>
              <w:top w:val="nil"/>
              <w:left w:val="single" w:color="auto" w:sz="8"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22"/>
                <w:szCs w:val="22"/>
              </w:rPr>
            </w:pPr>
          </w:p>
        </w:tc>
        <w:tc>
          <w:tcPr>
            <w:tcW w:w="8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22"/>
                <w:szCs w:val="22"/>
              </w:rPr>
            </w:pPr>
          </w:p>
        </w:tc>
        <w:tc>
          <w:tcPr>
            <w:tcW w:w="82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小计</w:t>
            </w:r>
          </w:p>
        </w:tc>
        <w:tc>
          <w:tcPr>
            <w:tcW w:w="9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公务用车</w:t>
            </w:r>
            <w:r>
              <w:rPr>
                <w:rFonts w:hint="eastAsia" w:ascii="宋体" w:hAnsi="宋体" w:eastAsia="宋体" w:cs="宋体"/>
                <w:kern w:val="0"/>
                <w:sz w:val="22"/>
                <w:szCs w:val="22"/>
              </w:rPr>
              <w:br w:type="textWrapping"/>
            </w:r>
            <w:r>
              <w:rPr>
                <w:rFonts w:hint="eastAsia" w:ascii="宋体" w:hAnsi="宋体" w:eastAsia="宋体" w:cs="宋体"/>
                <w:kern w:val="0"/>
                <w:sz w:val="22"/>
                <w:szCs w:val="22"/>
              </w:rPr>
              <w:t>购置费</w:t>
            </w:r>
          </w:p>
        </w:tc>
        <w:tc>
          <w:tcPr>
            <w:tcW w:w="7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公务用车</w:t>
            </w:r>
            <w:r>
              <w:rPr>
                <w:rFonts w:hint="eastAsia" w:ascii="宋体" w:hAnsi="宋体" w:eastAsia="宋体" w:cs="宋体"/>
                <w:kern w:val="0"/>
                <w:sz w:val="22"/>
                <w:szCs w:val="22"/>
              </w:rPr>
              <w:br w:type="textWrapping"/>
            </w:r>
            <w:r>
              <w:rPr>
                <w:rFonts w:hint="eastAsia" w:ascii="宋体" w:hAnsi="宋体" w:eastAsia="宋体" w:cs="宋体"/>
                <w:kern w:val="0"/>
                <w:sz w:val="22"/>
                <w:szCs w:val="22"/>
              </w:rPr>
              <w:t>运行费</w:t>
            </w:r>
          </w:p>
        </w:tc>
        <w:tc>
          <w:tcPr>
            <w:tcW w:w="8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2"/>
                <w:szCs w:val="22"/>
              </w:rPr>
            </w:pPr>
          </w:p>
        </w:tc>
        <w:tc>
          <w:tcPr>
            <w:tcW w:w="833" w:type="dxa"/>
            <w:vMerge w:val="continue"/>
            <w:tcBorders>
              <w:top w:val="nil"/>
              <w:left w:val="nil"/>
              <w:bottom w:val="single" w:color="000000" w:sz="4" w:space="0"/>
              <w:right w:val="single" w:color="auto" w:sz="4" w:space="0"/>
            </w:tcBorders>
            <w:noWrap w:val="0"/>
            <w:vAlign w:val="center"/>
          </w:tcPr>
          <w:p>
            <w:pPr>
              <w:widowControl/>
              <w:jc w:val="left"/>
              <w:rPr>
                <w:rFonts w:hint="eastAsia" w:ascii="宋体" w:hAnsi="宋体" w:eastAsia="宋体" w:cs="宋体"/>
                <w:kern w:val="0"/>
                <w:sz w:val="22"/>
                <w:szCs w:val="22"/>
              </w:rPr>
            </w:pPr>
          </w:p>
        </w:tc>
        <w:tc>
          <w:tcPr>
            <w:tcW w:w="84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22"/>
                <w:szCs w:val="22"/>
              </w:rPr>
            </w:pPr>
          </w:p>
        </w:tc>
        <w:tc>
          <w:tcPr>
            <w:tcW w:w="7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小计</w:t>
            </w:r>
          </w:p>
        </w:tc>
        <w:tc>
          <w:tcPr>
            <w:tcW w:w="120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公务用车</w:t>
            </w:r>
            <w:r>
              <w:rPr>
                <w:rFonts w:hint="eastAsia" w:ascii="宋体" w:hAnsi="宋体" w:eastAsia="宋体" w:cs="宋体"/>
                <w:kern w:val="0"/>
                <w:sz w:val="22"/>
                <w:szCs w:val="22"/>
              </w:rPr>
              <w:br w:type="textWrapping"/>
            </w:r>
            <w:r>
              <w:rPr>
                <w:rFonts w:hint="eastAsia" w:ascii="宋体" w:hAnsi="宋体" w:eastAsia="宋体" w:cs="宋体"/>
                <w:kern w:val="0"/>
                <w:sz w:val="22"/>
                <w:szCs w:val="22"/>
              </w:rPr>
              <w:t>购置费</w:t>
            </w:r>
          </w:p>
        </w:tc>
        <w:tc>
          <w:tcPr>
            <w:tcW w:w="112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公务用车</w:t>
            </w:r>
            <w:r>
              <w:rPr>
                <w:rFonts w:hint="eastAsia" w:ascii="宋体" w:hAnsi="宋体" w:eastAsia="宋体" w:cs="宋体"/>
                <w:kern w:val="0"/>
                <w:sz w:val="22"/>
                <w:szCs w:val="22"/>
              </w:rPr>
              <w:br w:type="textWrapping"/>
            </w:r>
            <w:r>
              <w:rPr>
                <w:rFonts w:hint="eastAsia" w:ascii="宋体" w:hAnsi="宋体" w:eastAsia="宋体" w:cs="宋体"/>
                <w:kern w:val="0"/>
                <w:sz w:val="22"/>
                <w:szCs w:val="22"/>
              </w:rPr>
              <w:t>运行费</w:t>
            </w:r>
          </w:p>
        </w:tc>
        <w:tc>
          <w:tcPr>
            <w:tcW w:w="773" w:type="dxa"/>
            <w:vMerge w:val="continue"/>
            <w:tcBorders>
              <w:top w:val="nil"/>
              <w:left w:val="single" w:color="auto" w:sz="4" w:space="0"/>
              <w:bottom w:val="single" w:color="000000" w:sz="4" w:space="0"/>
              <w:right w:val="single" w:color="auto" w:sz="8" w:space="0"/>
            </w:tcBorders>
            <w:noWrap w:val="0"/>
            <w:vAlign w:val="center"/>
          </w:tcPr>
          <w:p>
            <w:pPr>
              <w:widowControl/>
              <w:jc w:val="left"/>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567" w:hRule="atLeast"/>
          <w:jc w:val="center"/>
        </w:trPr>
        <w:tc>
          <w:tcPr>
            <w:tcW w:w="880"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8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2</w:t>
            </w:r>
          </w:p>
        </w:tc>
        <w:tc>
          <w:tcPr>
            <w:tcW w:w="82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3</w:t>
            </w:r>
          </w:p>
        </w:tc>
        <w:tc>
          <w:tcPr>
            <w:tcW w:w="9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4</w:t>
            </w:r>
          </w:p>
        </w:tc>
        <w:tc>
          <w:tcPr>
            <w:tcW w:w="77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5</w:t>
            </w:r>
          </w:p>
        </w:tc>
        <w:tc>
          <w:tcPr>
            <w:tcW w:w="82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6</w:t>
            </w:r>
          </w:p>
        </w:tc>
        <w:tc>
          <w:tcPr>
            <w:tcW w:w="83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7</w:t>
            </w:r>
          </w:p>
        </w:tc>
        <w:tc>
          <w:tcPr>
            <w:tcW w:w="84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8</w:t>
            </w:r>
          </w:p>
        </w:tc>
        <w:tc>
          <w:tcPr>
            <w:tcW w:w="7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9</w:t>
            </w:r>
          </w:p>
        </w:tc>
        <w:tc>
          <w:tcPr>
            <w:tcW w:w="120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10</w:t>
            </w:r>
          </w:p>
        </w:tc>
        <w:tc>
          <w:tcPr>
            <w:tcW w:w="112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11</w:t>
            </w:r>
          </w:p>
        </w:tc>
        <w:tc>
          <w:tcPr>
            <w:tcW w:w="773" w:type="dxa"/>
            <w:tcBorders>
              <w:top w:val="nil"/>
              <w:left w:val="nil"/>
              <w:bottom w:val="single" w:color="auto" w:sz="4" w:space="0"/>
              <w:right w:val="single" w:color="auto"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12</w:t>
            </w:r>
          </w:p>
        </w:tc>
      </w:tr>
      <w:tr>
        <w:tblPrEx>
          <w:tblCellMar>
            <w:top w:w="0" w:type="dxa"/>
            <w:left w:w="108" w:type="dxa"/>
            <w:bottom w:w="0" w:type="dxa"/>
            <w:right w:w="108" w:type="dxa"/>
          </w:tblCellMar>
        </w:tblPrEx>
        <w:trPr>
          <w:trHeight w:val="567" w:hRule="atLeast"/>
          <w:jc w:val="center"/>
        </w:trPr>
        <w:tc>
          <w:tcPr>
            <w:tcW w:w="880" w:type="dxa"/>
            <w:tcBorders>
              <w:top w:val="nil"/>
              <w:left w:val="single" w:color="auto" w:sz="8" w:space="0"/>
              <w:bottom w:val="single" w:color="auto" w:sz="8" w:space="0"/>
              <w:right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cs="宋体"/>
                <w:kern w:val="0"/>
                <w:sz w:val="22"/>
                <w:szCs w:val="22"/>
                <w:lang w:val="en-US" w:eastAsia="zh-CN"/>
              </w:rPr>
              <w:t>35.00</w:t>
            </w:r>
          </w:p>
        </w:tc>
        <w:tc>
          <w:tcPr>
            <w:tcW w:w="840" w:type="dxa"/>
            <w:tcBorders>
              <w:top w:val="nil"/>
              <w:left w:val="nil"/>
              <w:bottom w:val="single" w:color="auto" w:sz="8" w:space="0"/>
              <w:right w:val="single" w:color="auto" w:sz="4" w:space="0"/>
            </w:tcBorders>
            <w:noWrap w:val="0"/>
            <w:vAlign w:val="center"/>
          </w:tcPr>
          <w:p>
            <w:pPr>
              <w:widowControl/>
              <w:jc w:val="center"/>
              <w:rPr>
                <w:rFonts w:hint="eastAsia" w:ascii="宋体" w:hAnsi="宋体" w:eastAsia="宋体" w:cs="宋体"/>
                <w:kern w:val="0"/>
                <w:sz w:val="22"/>
                <w:szCs w:val="22"/>
              </w:rPr>
            </w:pPr>
          </w:p>
        </w:tc>
        <w:tc>
          <w:tcPr>
            <w:tcW w:w="825" w:type="dxa"/>
            <w:tcBorders>
              <w:top w:val="nil"/>
              <w:left w:val="nil"/>
              <w:bottom w:val="single" w:color="auto" w:sz="8" w:space="0"/>
              <w:right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cs="宋体"/>
                <w:kern w:val="0"/>
                <w:sz w:val="22"/>
                <w:szCs w:val="22"/>
                <w:lang w:val="en-US" w:eastAsia="zh-CN"/>
              </w:rPr>
              <w:t>13.00</w:t>
            </w:r>
          </w:p>
        </w:tc>
        <w:tc>
          <w:tcPr>
            <w:tcW w:w="975" w:type="dxa"/>
            <w:tcBorders>
              <w:top w:val="nil"/>
              <w:left w:val="nil"/>
              <w:bottom w:val="single" w:color="auto" w:sz="8" w:space="0"/>
              <w:right w:val="single" w:color="auto" w:sz="4" w:space="0"/>
            </w:tcBorders>
            <w:noWrap w:val="0"/>
            <w:vAlign w:val="center"/>
          </w:tcPr>
          <w:p>
            <w:pPr>
              <w:widowControl/>
              <w:jc w:val="center"/>
              <w:rPr>
                <w:rFonts w:hint="eastAsia" w:ascii="宋体" w:hAnsi="宋体" w:eastAsia="宋体" w:cs="宋体"/>
                <w:kern w:val="0"/>
                <w:sz w:val="22"/>
                <w:szCs w:val="22"/>
              </w:rPr>
            </w:pPr>
          </w:p>
        </w:tc>
        <w:tc>
          <w:tcPr>
            <w:tcW w:w="775" w:type="dxa"/>
            <w:tcBorders>
              <w:top w:val="nil"/>
              <w:left w:val="nil"/>
              <w:bottom w:val="single" w:color="auto" w:sz="8" w:space="0"/>
              <w:right w:val="single" w:color="auto" w:sz="4" w:space="0"/>
            </w:tcBorders>
            <w:noWrap w:val="0"/>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lang w:val="en-US" w:eastAsia="zh-CN"/>
              </w:rPr>
              <w:t>13.00</w:t>
            </w:r>
          </w:p>
        </w:tc>
        <w:tc>
          <w:tcPr>
            <w:tcW w:w="829" w:type="dxa"/>
            <w:tcBorders>
              <w:top w:val="nil"/>
              <w:left w:val="nil"/>
              <w:bottom w:val="single" w:color="auto" w:sz="8" w:space="0"/>
              <w:right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cs="宋体"/>
                <w:kern w:val="0"/>
                <w:sz w:val="22"/>
                <w:szCs w:val="22"/>
                <w:lang w:val="en-US" w:eastAsia="zh-CN"/>
              </w:rPr>
              <w:t>22.00</w:t>
            </w:r>
          </w:p>
        </w:tc>
        <w:tc>
          <w:tcPr>
            <w:tcW w:w="833" w:type="dxa"/>
            <w:tcBorders>
              <w:top w:val="nil"/>
              <w:left w:val="nil"/>
              <w:bottom w:val="single" w:color="auto" w:sz="8" w:space="0"/>
              <w:right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cs="宋体"/>
                <w:kern w:val="0"/>
                <w:sz w:val="22"/>
                <w:szCs w:val="22"/>
                <w:lang w:val="en-US" w:eastAsia="zh-CN"/>
              </w:rPr>
              <w:t>16.16</w:t>
            </w:r>
          </w:p>
        </w:tc>
        <w:tc>
          <w:tcPr>
            <w:tcW w:w="846" w:type="dxa"/>
            <w:tcBorders>
              <w:top w:val="nil"/>
              <w:left w:val="nil"/>
              <w:bottom w:val="single" w:color="auto" w:sz="8" w:space="0"/>
              <w:right w:val="single" w:color="auto" w:sz="4" w:space="0"/>
            </w:tcBorders>
            <w:noWrap w:val="0"/>
            <w:vAlign w:val="center"/>
          </w:tcPr>
          <w:p>
            <w:pPr>
              <w:widowControl/>
              <w:jc w:val="center"/>
              <w:rPr>
                <w:rFonts w:hint="eastAsia" w:ascii="宋体" w:hAnsi="宋体" w:eastAsia="宋体" w:cs="宋体"/>
                <w:kern w:val="0"/>
                <w:sz w:val="22"/>
                <w:szCs w:val="22"/>
              </w:rPr>
            </w:pPr>
          </w:p>
        </w:tc>
        <w:tc>
          <w:tcPr>
            <w:tcW w:w="711" w:type="dxa"/>
            <w:tcBorders>
              <w:top w:val="nil"/>
              <w:left w:val="nil"/>
              <w:bottom w:val="single" w:color="auto" w:sz="8" w:space="0"/>
              <w:right w:val="single" w:color="auto" w:sz="4" w:space="0"/>
            </w:tcBorders>
            <w:noWrap w:val="0"/>
            <w:vAlign w:val="center"/>
          </w:tcPr>
          <w:p>
            <w:pPr>
              <w:widowControl/>
              <w:jc w:val="center"/>
              <w:rPr>
                <w:rFonts w:hint="eastAsia" w:ascii="宋体" w:hAnsi="宋体" w:eastAsia="宋体" w:cs="宋体"/>
                <w:kern w:val="0"/>
                <w:sz w:val="22"/>
                <w:szCs w:val="22"/>
              </w:rPr>
            </w:pPr>
            <w:r>
              <w:rPr>
                <w:rFonts w:hint="eastAsia" w:ascii="宋体" w:hAnsi="宋体" w:cs="宋体"/>
                <w:kern w:val="0"/>
                <w:sz w:val="22"/>
                <w:szCs w:val="22"/>
                <w:lang w:val="en-US" w:eastAsia="zh-CN"/>
              </w:rPr>
              <w:t>8.54</w:t>
            </w:r>
          </w:p>
        </w:tc>
        <w:tc>
          <w:tcPr>
            <w:tcW w:w="1201" w:type="dxa"/>
            <w:tcBorders>
              <w:top w:val="nil"/>
              <w:left w:val="nil"/>
              <w:bottom w:val="single" w:color="auto" w:sz="8" w:space="0"/>
              <w:right w:val="single" w:color="auto" w:sz="4" w:space="0"/>
            </w:tcBorders>
            <w:noWrap w:val="0"/>
            <w:vAlign w:val="center"/>
          </w:tcPr>
          <w:p>
            <w:pPr>
              <w:widowControl/>
              <w:jc w:val="center"/>
              <w:rPr>
                <w:rFonts w:hint="eastAsia" w:ascii="宋体" w:hAnsi="宋体" w:eastAsia="宋体" w:cs="宋体"/>
                <w:kern w:val="0"/>
                <w:sz w:val="22"/>
                <w:szCs w:val="22"/>
              </w:rPr>
            </w:pPr>
          </w:p>
        </w:tc>
        <w:tc>
          <w:tcPr>
            <w:tcW w:w="1122" w:type="dxa"/>
            <w:tcBorders>
              <w:top w:val="nil"/>
              <w:left w:val="nil"/>
              <w:bottom w:val="single" w:color="auto" w:sz="8" w:space="0"/>
              <w:right w:val="nil"/>
            </w:tcBorders>
            <w:noWrap w:val="0"/>
            <w:vAlign w:val="center"/>
          </w:tcPr>
          <w:p>
            <w:pPr>
              <w:widowControl/>
              <w:jc w:val="center"/>
              <w:rPr>
                <w:rFonts w:hint="eastAsia" w:ascii="宋体" w:hAnsi="宋体" w:eastAsia="宋体" w:cs="宋体"/>
                <w:kern w:val="0"/>
                <w:sz w:val="22"/>
                <w:szCs w:val="22"/>
              </w:rPr>
            </w:pPr>
            <w:r>
              <w:rPr>
                <w:rFonts w:hint="eastAsia" w:ascii="宋体" w:hAnsi="宋体" w:cs="宋体"/>
                <w:kern w:val="0"/>
                <w:sz w:val="22"/>
                <w:szCs w:val="22"/>
                <w:lang w:val="en-US" w:eastAsia="zh-CN"/>
              </w:rPr>
              <w:t>8.54</w:t>
            </w:r>
          </w:p>
        </w:tc>
        <w:tc>
          <w:tcPr>
            <w:tcW w:w="773" w:type="dxa"/>
            <w:tcBorders>
              <w:top w:val="nil"/>
              <w:left w:val="single" w:color="auto" w:sz="4" w:space="0"/>
              <w:bottom w:val="single" w:color="auto" w:sz="8" w:space="0"/>
              <w:right w:val="single" w:color="auto" w:sz="8" w:space="0"/>
            </w:tcBorders>
            <w:noWrap w:val="0"/>
            <w:vAlign w:val="center"/>
          </w:tcPr>
          <w:p>
            <w:pPr>
              <w:widowControl/>
              <w:jc w:val="center"/>
              <w:rPr>
                <w:rFonts w:hint="eastAsia" w:ascii="宋体" w:hAnsi="宋体" w:eastAsia="宋体" w:cs="宋体"/>
                <w:kern w:val="0"/>
                <w:sz w:val="22"/>
                <w:szCs w:val="22"/>
              </w:rPr>
            </w:pPr>
            <w:r>
              <w:rPr>
                <w:rFonts w:hint="eastAsia" w:ascii="宋体" w:hAnsi="宋体" w:cs="宋体"/>
                <w:kern w:val="0"/>
                <w:sz w:val="22"/>
                <w:szCs w:val="22"/>
                <w:lang w:val="en-US" w:eastAsia="zh-CN"/>
              </w:rPr>
              <w:t>7.62</w:t>
            </w:r>
          </w:p>
        </w:tc>
      </w:tr>
    </w:tbl>
    <w:p>
      <w:r>
        <w:rPr>
          <w:rFonts w:hint="eastAsia" w:ascii="宋体" w:hAnsi="宋体" w:eastAsia="宋体" w:cs="宋体"/>
          <w:kern w:val="0"/>
          <w:sz w:val="22"/>
          <w:szCs w:val="22"/>
        </w:rPr>
        <w:t>注：本表反映部门本年度“三公”经费支出预决算情况。其中，预算数为“三公”经费年初预算数，决算数是包括当年一般公共预算财政拨款和以前年度结转资金安排的实际</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5C2B3F"/>
    <w:rsid w:val="385C2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2020-10-09T09:31:00Z</dcterms:created>
  <dc:creator> 嘴角上扬</dc:creator>
  <cp:lastModifiedBy> 嘴角上扬</cp:lastModifiedBy>
  <dcterms:modified xsi:type="dcterms:W3CDTF">2020-10-09T09:32:32Z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