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40" w:lineRule="atLeast"/>
        <w:ind w:left="0" w:right="0" w:firstLine="0"/>
        <w:jc w:val="center"/>
        <w:rPr>
          <w:rFonts w:ascii="Open Sans" w:hAnsi="Open Sans" w:eastAsia="Open Sans" w:cs="Open Sans"/>
          <w:b/>
          <w:i w:val="0"/>
          <w:caps w:val="0"/>
          <w:color w:val="333333"/>
          <w:spacing w:val="0"/>
          <w:sz w:val="45"/>
          <w:szCs w:val="45"/>
        </w:rPr>
      </w:pPr>
      <w:r>
        <w:rPr>
          <w:rFonts w:hint="default" w:ascii="Open Sans" w:hAnsi="Open Sans" w:eastAsia="Open Sans" w:cs="Open Sans"/>
          <w:b/>
          <w:i w:val="0"/>
          <w:caps w:val="0"/>
          <w:color w:val="333333"/>
          <w:spacing w:val="0"/>
          <w:sz w:val="45"/>
          <w:szCs w:val="45"/>
          <w:shd w:val="clear" w:fill="FFFFFF"/>
        </w:rPr>
        <w:t>九溪镇2018年部门决算分析报告</w:t>
      </w:r>
    </w:p>
    <w:p>
      <w:pPr>
        <w:pStyle w:val="7"/>
      </w:pPr>
      <w:r>
        <w:t>窗体顶端</w:t>
      </w:r>
    </w:p>
    <w:p>
      <w:pPr>
        <w:keepNext w:val="0"/>
        <w:keepLines w:val="0"/>
        <w:widowControl/>
        <w:suppressLineNumbers w:val="0"/>
        <w:pBdr>
          <w:top w:val="single" w:color="DDDDDD" w:sz="6" w:space="12"/>
          <w:left w:val="none" w:color="auto" w:sz="0" w:space="0"/>
          <w:bottom w:val="none" w:color="auto" w:sz="0" w:space="0"/>
          <w:right w:val="none" w:color="auto" w:sz="0" w:space="0"/>
        </w:pBdr>
        <w:shd w:val="clear" w:fill="EEEEEE"/>
        <w:spacing w:before="270" w:beforeAutospacing="0" w:after="270" w:afterAutospacing="0"/>
        <w:ind w:left="0" w:firstLine="0"/>
        <w:jc w:val="center"/>
        <w:rPr>
          <w:rFonts w:hint="default" w:ascii="Open Sans" w:hAnsi="Open Sans" w:eastAsia="Open Sans" w:cs="Open Sans"/>
          <w:i w:val="0"/>
          <w:caps w:val="0"/>
          <w:color w:val="333333"/>
          <w:spacing w:val="0"/>
          <w:sz w:val="19"/>
          <w:szCs w:val="19"/>
        </w:rPr>
      </w:pPr>
      <w:r>
        <w:rPr>
          <w:rFonts w:hint="default" w:ascii="Open Sans" w:hAnsi="Open Sans" w:eastAsia="Open Sans" w:cs="Open Sans"/>
          <w:i w:val="0"/>
          <w:caps w:val="0"/>
          <w:color w:val="333333"/>
          <w:spacing w:val="0"/>
          <w:kern w:val="0"/>
          <w:sz w:val="19"/>
          <w:szCs w:val="19"/>
          <w:bdr w:val="none" w:color="auto" w:sz="0" w:space="0"/>
          <w:shd w:val="clear" w:fill="EEEEEE"/>
          <w:lang w:val="en-US" w:eastAsia="zh-CN" w:bidi="ar"/>
        </w:rPr>
        <w:t>发布时间:2019-07-16　　作者:900012001　　浏览次数:123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jc w:val="center"/>
        <w:rPr>
          <w:rFonts w:ascii="宋体" w:hAnsi="宋体" w:eastAsia="宋体" w:cs="宋体"/>
          <w:color w:val="333333"/>
          <w:sz w:val="21"/>
          <w:szCs w:val="21"/>
        </w:rPr>
      </w:pPr>
      <w:r>
        <w:rPr>
          <w:rStyle w:val="5"/>
          <w:rFonts w:hint="eastAsia" w:ascii="宋体" w:hAnsi="宋体" w:eastAsia="宋体" w:cs="宋体"/>
          <w:b/>
          <w:i w:val="0"/>
          <w:caps w:val="0"/>
          <w:color w:val="333333"/>
          <w:spacing w:val="0"/>
          <w:sz w:val="36"/>
          <w:szCs w:val="36"/>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eastAsia" w:ascii="宋体" w:hAnsi="宋体" w:eastAsia="宋体" w:cs="宋体"/>
          <w:b/>
          <w:i w:val="0"/>
          <w:caps w:val="0"/>
          <w:color w:val="333333"/>
          <w:spacing w:val="0"/>
          <w:sz w:val="30"/>
          <w:szCs w:val="30"/>
          <w:bdr w:val="none" w:color="auto" w:sz="0" w:space="0"/>
          <w:shd w:val="clear" w:fill="FFFFFF"/>
        </w:rPr>
        <w:t>一、</w:t>
      </w:r>
      <w:r>
        <w:rPr>
          <w:rStyle w:val="5"/>
          <w:rFonts w:hint="default" w:ascii="宋体" w:hAnsi="宋体" w:eastAsia="宋体" w:cs="宋体"/>
          <w:b/>
          <w:i w:val="0"/>
          <w:caps w:val="0"/>
          <w:color w:val="333333"/>
          <w:spacing w:val="0"/>
          <w:sz w:val="30"/>
          <w:szCs w:val="30"/>
          <w:bdr w:val="none" w:color="auto" w:sz="0" w:space="0"/>
          <w:shd w:val="clear" w:fill="FFFFFF"/>
        </w:rPr>
        <w:t>部门（单位）情况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27"/>
          <w:szCs w:val="27"/>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Fonts w:hint="default" w:ascii="宋体" w:hAnsi="宋体" w:eastAsia="宋体" w:cs="宋体"/>
          <w:i w:val="0"/>
          <w:caps w:val="0"/>
          <w:color w:val="333333"/>
          <w:spacing w:val="0"/>
          <w:sz w:val="21"/>
          <w:szCs w:val="21"/>
          <w:bdr w:val="none" w:color="auto" w:sz="0" w:space="0"/>
          <w:shd w:val="clear" w:fill="FFFFFF"/>
        </w:rPr>
        <w:t>1、主要职能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Fonts w:hint="default" w:ascii="宋体" w:hAnsi="宋体" w:eastAsia="宋体" w:cs="宋体"/>
          <w:i w:val="0"/>
          <w:caps w:val="0"/>
          <w:color w:val="333333"/>
          <w:spacing w:val="0"/>
          <w:sz w:val="21"/>
          <w:szCs w:val="21"/>
          <w:bdr w:val="none" w:color="auto" w:sz="0" w:space="0"/>
          <w:shd w:val="clear" w:fill="FFFFFF"/>
        </w:rPr>
        <w:t>2、机构情况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Fonts w:hint="default" w:ascii="宋体" w:hAnsi="宋体" w:eastAsia="宋体" w:cs="宋体"/>
          <w:i w:val="0"/>
          <w:caps w:val="0"/>
          <w:color w:val="333333"/>
          <w:spacing w:val="0"/>
          <w:sz w:val="21"/>
          <w:szCs w:val="21"/>
          <w:bdr w:val="none" w:color="auto" w:sz="0" w:space="0"/>
          <w:shd w:val="clear" w:fill="FFFFFF"/>
        </w:rPr>
        <w:t>3、人员情况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36"/>
          <w:szCs w:val="36"/>
          <w:bdr w:val="none" w:color="auto" w:sz="0" w:space="0"/>
          <w:shd w:val="clear" w:fill="FFFFFF"/>
        </w:rPr>
        <w:t>二、收入支出预算执行情况分析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27"/>
          <w:szCs w:val="27"/>
          <w:bdr w:val="none" w:color="auto" w:sz="0" w:space="0"/>
          <w:shd w:val="clear" w:fill="FFFFFF"/>
        </w:rPr>
        <w:t>（一）收入支出预算安排情况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default" w:ascii="宋体" w:hAnsi="宋体" w:eastAsia="宋体" w:cs="宋体"/>
          <w:b/>
          <w:i w:val="0"/>
          <w:caps w:val="0"/>
          <w:color w:val="333333"/>
          <w:spacing w:val="0"/>
          <w:sz w:val="27"/>
          <w:szCs w:val="27"/>
          <w:bdr w:val="none" w:color="auto" w:sz="0" w:space="0"/>
          <w:shd w:val="clear" w:fill="FFFFFF"/>
        </w:rPr>
        <w:t>（二）收入支出预算执行情况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Fonts w:hint="default" w:ascii="宋体" w:hAnsi="宋体" w:eastAsia="宋体" w:cs="宋体"/>
          <w:i w:val="0"/>
          <w:caps w:val="0"/>
          <w:color w:val="333333"/>
          <w:spacing w:val="0"/>
          <w:sz w:val="21"/>
          <w:szCs w:val="21"/>
          <w:bdr w:val="none" w:color="auto" w:sz="0" w:space="0"/>
          <w:shd w:val="clear" w:fill="FFFFFF"/>
        </w:rPr>
        <w:t>1、收入支出与预算对比分析。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Fonts w:hint="default" w:ascii="宋体" w:hAnsi="宋体" w:eastAsia="宋体" w:cs="宋体"/>
          <w:i w:val="0"/>
          <w:caps w:val="0"/>
          <w:color w:val="333333"/>
          <w:spacing w:val="0"/>
          <w:sz w:val="21"/>
          <w:szCs w:val="21"/>
          <w:bdr w:val="none" w:color="auto" w:sz="0" w:space="0"/>
          <w:shd w:val="clear" w:fill="FFFFFF"/>
        </w:rPr>
        <w:t>2、收入支出结构分析。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Fonts w:hint="default" w:ascii="宋体" w:hAnsi="宋体" w:eastAsia="宋体" w:cs="宋体"/>
          <w:i w:val="0"/>
          <w:caps w:val="0"/>
          <w:color w:val="333333"/>
          <w:spacing w:val="0"/>
          <w:sz w:val="21"/>
          <w:szCs w:val="21"/>
          <w:bdr w:val="none" w:color="auto" w:sz="0" w:space="0"/>
          <w:shd w:val="clear" w:fill="FFFFFF"/>
        </w:rPr>
        <w:t>3、支出按经济分类科目分析。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27"/>
          <w:szCs w:val="27"/>
          <w:bdr w:val="none" w:color="auto" w:sz="0" w:space="0"/>
          <w:shd w:val="clear" w:fill="FFFFFF"/>
        </w:rPr>
        <w:t>（三）年末结转和结余情况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36"/>
          <w:szCs w:val="36"/>
          <w:bdr w:val="none" w:color="auto" w:sz="0" w:space="0"/>
          <w:shd w:val="clear" w:fill="FFFFFF"/>
        </w:rPr>
        <w:t>三、资产负债情况分析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36"/>
          <w:szCs w:val="36"/>
          <w:bdr w:val="none" w:color="auto" w:sz="0" w:space="0"/>
          <w:shd w:val="clear" w:fill="FFFFFF"/>
        </w:rPr>
        <w:t>四、其他重要事项的情况说明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27"/>
          <w:szCs w:val="27"/>
          <w:bdr w:val="none" w:color="auto" w:sz="0" w:space="0"/>
          <w:shd w:val="clear" w:fill="FFFFFF"/>
        </w:rPr>
        <w:t>（一）机关运行经费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27"/>
          <w:szCs w:val="27"/>
          <w:bdr w:val="none" w:color="auto" w:sz="0" w:space="0"/>
          <w:shd w:val="clear" w:fill="FFFFFF"/>
        </w:rPr>
        <w:t>（二）政府采购情况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27"/>
          <w:szCs w:val="27"/>
          <w:bdr w:val="none" w:color="auto" w:sz="0" w:space="0"/>
          <w:shd w:val="clear" w:fill="FFFFFF"/>
        </w:rPr>
        <w:t>（三）国有资产占用使用情况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27"/>
          <w:szCs w:val="27"/>
          <w:bdr w:val="none" w:color="auto" w:sz="0" w:space="0"/>
          <w:shd w:val="clear" w:fill="FFFFFF"/>
        </w:rPr>
        <w:t>（四）举措债务情况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27"/>
          <w:szCs w:val="27"/>
          <w:bdr w:val="none" w:color="auto" w:sz="0" w:space="0"/>
          <w:shd w:val="clear" w:fill="FFFFFF"/>
        </w:rPr>
        <w:t>（五）预算绩效情况说明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21"/>
          <w:szCs w:val="21"/>
          <w:bdr w:val="none" w:color="auto" w:sz="0" w:space="0"/>
          <w:shd w:val="clear" w:fill="FFFFFF"/>
        </w:rPr>
        <w:t>1、年度预算绩效管理工作整体开展情况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19"/>
          <w:szCs w:val="19"/>
        </w:rPr>
      </w:pPr>
      <w:r>
        <w:rPr>
          <w:rStyle w:val="5"/>
          <w:rFonts w:hint="eastAsia" w:ascii="宋体" w:hAnsi="宋体" w:eastAsia="宋体" w:cs="宋体"/>
          <w:b/>
          <w:i w:val="0"/>
          <w:caps w:val="0"/>
          <w:color w:val="333333"/>
          <w:spacing w:val="0"/>
          <w:sz w:val="21"/>
          <w:szCs w:val="21"/>
          <w:bdr w:val="none" w:color="auto" w:sz="0" w:space="0"/>
          <w:shd w:val="clear" w:fill="FFFFFF"/>
        </w:rPr>
        <w:t>2、下一步打算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firstLine="420"/>
        <w:rPr>
          <w:rFonts w:hint="eastAsia" w:ascii="宋体" w:hAnsi="宋体" w:eastAsia="宋体" w:cs="宋体"/>
          <w:color w:val="333333"/>
          <w:sz w:val="21"/>
          <w:szCs w:val="21"/>
        </w:rPr>
      </w:pPr>
      <w:r>
        <w:rPr>
          <w:rStyle w:val="5"/>
          <w:rFonts w:hint="default" w:ascii="宋体" w:hAnsi="宋体" w:eastAsia="宋体" w:cs="宋体"/>
          <w:b/>
          <w:i w:val="0"/>
          <w:caps w:val="0"/>
          <w:color w:val="333333"/>
          <w:spacing w:val="0"/>
          <w:sz w:val="36"/>
          <w:szCs w:val="36"/>
          <w:bdr w:val="none" w:color="auto" w:sz="0" w:space="0"/>
          <w:shd w:val="clear" w:fill="FFFFFF"/>
        </w:rPr>
        <w:t>五、名词解释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一、部门（单位）情况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按照现行的乡镇财政管理体制以及上级的有关要求，和按照“财政精细化管理”的要求对全乡所有乡直事业单位的预算外资金实行了收支两条线的管理。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2.机构情况，包括当年变动情况及原因。</w:t>
      </w:r>
    </w:p>
    <w:tbl>
      <w:tblPr>
        <w:tblW w:w="8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7"/>
        <w:gridCol w:w="3810"/>
        <w:gridCol w:w="4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单位名称</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政府机关</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财政所</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卫生计划生育监督管理所</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综合文化站</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机构改革（2017年新设立）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农业和农村经营管理服务站</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水利管理站</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林业管理站</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国土规划建设管理所</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安全生产监督管理所</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机构改革（2017年新设立）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38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民政和劳动保障站</w:t>
            </w:r>
          </w:p>
        </w:tc>
        <w:tc>
          <w:tcPr>
            <w:tcW w:w="420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3.人员情况，包括当年变动情况及原因。</w:t>
      </w:r>
    </w:p>
    <w:tbl>
      <w:tblPr>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34"/>
        <w:gridCol w:w="4394"/>
        <w:gridCol w:w="2656"/>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单位名称</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2018年实有人数</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政府机关</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财政所</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卫生计划生育监督管理所</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综合文化站</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农业和农村经营管理服务站</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水利管理站</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林业管理站</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国土规划建设管理所</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安全生产监督管理所</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民政和劳动保障站</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439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合计</w:t>
            </w:r>
          </w:p>
        </w:tc>
        <w:tc>
          <w:tcPr>
            <w:tcW w:w="265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73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二、收入支出预算执行情况分析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（一）收入支出预算安排情况。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2018年初预算安排收入1686.59万元，其中政府性基金预算财政拨款184.46万元，其他收入45.6万元。总收入比2017年增加51.17万元，增加的原因为人员的增加，津补贴的增加。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（二）收入支出预算执行情况。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 收入支出与预算对比分析。</w:t>
      </w:r>
    </w:p>
    <w:tbl>
      <w:tblPr>
        <w:tblW w:w="8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110"/>
        <w:gridCol w:w="1582"/>
        <w:gridCol w:w="1582"/>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项目(按功能分类)</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年初预算数</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调整预算数</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一、一般公共服务支出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256.63</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377.03</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二、外交支出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三、国防支出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四、公共安全支出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五、教育支出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六、科学技术支出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七、文化体育与传媒支出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15.40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52.10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八、社会保障和就业支出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142.70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九、医疗卫生与计划生育支出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43.87</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70.82</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十、节能环保支出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十一、城乡社区支出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20.56</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158.59</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十二、农林水支出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345.91</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659.22</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十三、交通运输支出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十四、资源勘探信息等支出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10.70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10.26</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十五、商业服务业等支出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十六、金融支出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十七、援助其他地区支出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十八、国土海洋气象等支出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十九、住房保障支出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12.88</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12.88</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二十、粮油物资储备支出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二十一、其他支出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79.01</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二十二、债务还本支出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二十三、债务付息支出</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10.00</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合计</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715.95</w:t>
            </w:r>
          </w:p>
        </w:tc>
        <w:tc>
          <w:tcPr>
            <w:tcW w:w="158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1592.60</w:t>
            </w:r>
          </w:p>
        </w:tc>
        <w:tc>
          <w:tcPr>
            <w:tcW w:w="11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1592.60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2.收入支出结构分析。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（1）各项收入占总收入的比重，各项支出占总支出的比重</w:t>
      </w:r>
    </w:p>
    <w:tbl>
      <w:tblPr>
        <w:tblW w:w="82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67"/>
        <w:gridCol w:w="2306"/>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233" w:type="dxa"/>
            <w:gridSpan w:val="3"/>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收入部分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项目(按支出性质和经济分类)</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决算数（万元）</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一、基本支出</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946.59</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人员经费</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747.07</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日常公用经费</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199.52</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二、项目支出</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646.01</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基本建设类项目</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135.00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行政事业类项目</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511.01</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合计</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1592.60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233" w:type="dxa"/>
            <w:gridSpan w:val="3"/>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决算数</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一、财政拨款收入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1686.60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其中：政府性基金预算财政拨款</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184.86</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二、上级补助收入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三、事业收入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四、经营收入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五、附属单位上缴收入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0.00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六、其他收入</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45.60</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67"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合计</w:t>
            </w:r>
          </w:p>
        </w:tc>
        <w:tc>
          <w:tcPr>
            <w:tcW w:w="230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1917.06</w:t>
            </w:r>
          </w:p>
        </w:tc>
        <w:tc>
          <w:tcPr>
            <w:tcW w:w="6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（2）收入支出按部门所属单位分布情况</w:t>
      </w:r>
    </w:p>
    <w:tbl>
      <w:tblPr>
        <w:tblW w:w="8098" w:type="dxa"/>
        <w:jc w:val="center"/>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561"/>
        <w:gridCol w:w="1944"/>
        <w:gridCol w:w="1620"/>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财政拨款收入</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预算外收入</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政府机关</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219.82</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财政所</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27.84</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综合文化站</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29.26</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卫生计划生育监督管理所</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72.60</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国土规划建设管理所</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117.69</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农业、民政</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92.40</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林业管理站</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18.06</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水利管理站</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34.84</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1"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安全生产监督管理所</w:t>
            </w:r>
          </w:p>
        </w:tc>
        <w:tc>
          <w:tcPr>
            <w:tcW w:w="1944"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8.34</w:t>
            </w:r>
          </w:p>
        </w:tc>
        <w:tc>
          <w:tcPr>
            <w:tcW w:w="16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2.00</w:t>
            </w:r>
          </w:p>
        </w:tc>
        <w:tc>
          <w:tcPr>
            <w:tcW w:w="973"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3.支出按经济分类科目分析。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（1）“三公”经费支出情况：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2018年三公经费14.2万元，较2017年减少1.4万元。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（2）会议费支出情况：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2018年度会议费8.13万元，较2017年减少0.67万元。（3）培训费支出情况。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2018年度培训费3.05万元，较2016年增加1.75万元。原因为新进人员增加、培训费用增加。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4.财政拨款收入、支出分析。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财政拨款财政拨款收入共1686.59万元，其中一般公共预算拨款1501.73万元，基金预算拨款184.86万元。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财政拨款支出共计1547万元，其中基本支出900.99万元，项目支出646.01万元。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财政拨款收入上年结转15万元，本年收入1501.73万元，本年支出1362.14万元，结转下年154.59万元。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（三）年末结转和结余情况。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年末结转和结余154.59万，均为财政拨款收支结转，其中基本支出结转125.94万元，项目支出结转28.64万元。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三、资产负债情况分析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资产负债结构情况。</w:t>
      </w:r>
    </w:p>
    <w:tbl>
      <w:tblPr>
        <w:tblW w:w="7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512"/>
        <w:gridCol w:w="2008"/>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行政单位</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年初数</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一、资产合计</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1,107.78</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流动资产</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773.54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其他应收款</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固定资产</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334.24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固定资产原价</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334.24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二、负债合计</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758.54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流动负债</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758.54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应付账款</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758.54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三、净资产合计</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349.24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财政拨款结转</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15.00</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2"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资产基金</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334.24</w:t>
            </w:r>
          </w:p>
        </w:tc>
        <w:tc>
          <w:tcPr>
            <w:tcW w:w="2008"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337.81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四、其他重要事项的情况说明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（一）机关运行经费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2018年度桃源县九溪镇人民政府机关运行经费106万元，主要用于保障单位运行，用于购买货物或服务。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（二）政府采购情况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2018年度桃源县九溪镇人民政府采购支出71.32万元，主要是九溪镇两河口桥重建工程70.78万元，采购电脑一台、打印机一台0.54万元。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（三）国有资产占用使用情况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截止到2018年12月31日，桃源县九溪镇人民政府共有车辆2辆，其中一般公务用车为1辆，为应急车辆；单位价值200万以上的大型设备0台（套）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(四)举措债务情况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我镇2018年度没有向任何单位或个人举措债务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（五）预算绩效情况说明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根据新《预算法》中对财政绩效管理的新要求，我镇坚持以提升财政资金绩效为主线，以绩效目标实现为导向，加强财政绩效管理建设，各项收入和支出都基本按预算的目标完成，2018年预算绩效管理取得新成效。现将预算绩效开展情况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1、年度预算绩效管理工作整体开展情况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①、探索绩效跟踪监控，加强全过程监控，以预算单位为责任主体，提高财政资金使用的规范性和时效性。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②、深入开展财政支出绩效评价，并将绩效评价作为改进预算管理和安排以后年度预算的重要依据。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③、强化评价结果应用，对发现的问题及时改进，加强评价结果与项目资金安排的衔接。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④、2018年</w:t>
      </w:r>
      <w:r>
        <w:rPr>
          <w:rFonts w:ascii="仿宋_GB2312" w:hAnsi="宋体" w:eastAsia="仿宋_GB2312" w:cs="仿宋_GB2312"/>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桃源县九溪镇年初</w:t>
      </w:r>
      <w:r>
        <w:rPr>
          <w:rFonts w:hint="default" w:ascii="宋体" w:hAnsi="宋体" w:eastAsia="宋体" w:cs="宋体"/>
          <w:i w:val="0"/>
          <w:caps w:val="0"/>
          <w:color w:val="333333"/>
          <w:spacing w:val="0"/>
          <w:sz w:val="21"/>
          <w:szCs w:val="21"/>
          <w:bdr w:val="none" w:color="auto" w:sz="0" w:space="0"/>
          <w:shd w:val="clear" w:fill="FFFFFF"/>
        </w:rPr>
        <w:t>安排收入1686.59万元</w:t>
      </w:r>
      <w:r>
        <w:rPr>
          <w:rFonts w:hint="eastAsia" w:ascii="宋体" w:hAnsi="宋体" w:eastAsia="宋体" w:cs="宋体"/>
          <w:i w:val="0"/>
          <w:caps w:val="0"/>
          <w:color w:val="333333"/>
          <w:spacing w:val="0"/>
          <w:sz w:val="21"/>
          <w:szCs w:val="21"/>
          <w:bdr w:val="none" w:color="auto" w:sz="0" w:space="0"/>
          <w:shd w:val="clear" w:fill="FFFFFF"/>
        </w:rPr>
        <w:t>，各基本支出、项目支出均已按计划开展、按进度实施，基本上达到了预期效果，资金使用到位，取得了良好的社会效益。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2、下一步打算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2018年，我镇将继续认真贯彻落实新《预算法》，努力推进预算绩效管理工作，开展重点项目、重点领域的绩效评价，提高财政资金的使用效益。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五、名词解释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（一）、财政拨款收入:指单位从同级财政部门取得的财政预算资金。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（二）、事业收入:指事业单位开展专业业务活动及辅助活动所取得的收入。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（三）、其他收入:指事业单位除财政补助收入.事业收入、上级补助收入、附属单位上缴收入、经营收入以外的各项收入, 包括投资收益、银行存款利息收入、租金收入、指赠收入、现金盘盈收入、存货盘盈收入、收回已核销应收及预付款项、无法偿付的应付及预收款项等。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（四）、年初结转和结余:指单位以前年度尚未完成、结转到本年按有关规定继续使用的资金。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（五）、结余分配:指事业单位接照会计制度规定缴纳的所得税以及从非财政补助结余中提取的职工福利基金、事业基金。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（六）、年末结转和结余:指单位接有关规定结转到下年或以后年度继续使用的资金。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（七）、基本支出:指单位为保障其机构正常运转、完成日常工作任务而发生的人员支出和公用支出。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（八）、项目支出:指单位为完成特定行政任务和事业发展目标在基本支出之外所发生的支出。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九）、“三公”经费: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十）、机关运行经费:指为保障行政单位(包括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357"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桃源县九溪镇财政所</w:t>
      </w:r>
    </w:p>
    <w:p>
      <w:pPr>
        <w:pStyle w:val="8"/>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D04AC"/>
    <w:rsid w:val="0C93108D"/>
    <w:rsid w:val="22AD4077"/>
    <w:rsid w:val="236E0999"/>
    <w:rsid w:val="23EF6811"/>
    <w:rsid w:val="4FFD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2021-05-13T06:47:00Z</dcterms:created>
  <dc:creator>日月风</dc:creator>
  <cp:lastModifiedBy>日月风</cp:lastModifiedBy>
  <dcterms:modified xsi:type="dcterms:W3CDTF">2021-05-13T06:55:58Z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