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 w:cs="Helvetica"/>
          <w:color w:val="333333"/>
        </w:rPr>
      </w:pPr>
      <w:r>
        <w:rPr>
          <w:rStyle w:val="a4"/>
          <w:rFonts w:ascii="Times New Roman" w:hAnsi="Times New Roman" w:cs="Times New Roman"/>
          <w:color w:val="222222"/>
          <w:sz w:val="44"/>
          <w:szCs w:val="44"/>
        </w:rPr>
        <w:t>2018</w:t>
      </w:r>
      <w:r>
        <w:rPr>
          <w:rStyle w:val="a4"/>
          <w:rFonts w:cs="Helvetica" w:hint="eastAsia"/>
          <w:color w:val="222222"/>
          <w:sz w:val="44"/>
          <w:szCs w:val="44"/>
        </w:rPr>
        <w:t>年桃源县残疾人联合会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 w:cs="Helvetica"/>
          <w:color w:val="333333"/>
        </w:rPr>
      </w:pPr>
      <w:r>
        <w:rPr>
          <w:rStyle w:val="a4"/>
          <w:rFonts w:cs="Helvetica" w:hint="eastAsia"/>
          <w:color w:val="222222"/>
          <w:sz w:val="44"/>
          <w:szCs w:val="44"/>
        </w:rPr>
        <w:t>部门</w:t>
      </w:r>
      <w:r>
        <w:rPr>
          <w:rStyle w:val="a4"/>
          <w:rFonts w:cs="Times New Roman" w:hint="eastAsia"/>
          <w:color w:val="222222"/>
          <w:sz w:val="44"/>
          <w:szCs w:val="44"/>
        </w:rPr>
        <w:t>整体支出绩效评价报告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Helvetica" w:hAnsi="Helvetica" w:cs="Helvetica"/>
          <w:color w:val="333333"/>
        </w:rPr>
      </w:pPr>
      <w:r>
        <w:rPr>
          <w:rStyle w:val="a4"/>
          <w:rFonts w:ascii="Times New Roman" w:hAnsi="Times New Roman" w:cs="Times New Roman"/>
          <w:color w:val="222222"/>
          <w:sz w:val="44"/>
          <w:szCs w:val="44"/>
        </w:rPr>
        <w:t> 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color w:val="333333"/>
        </w:rPr>
      </w:pPr>
      <w:r>
        <w:rPr>
          <w:rFonts w:cs="Helvetica" w:hint="eastAsia"/>
          <w:color w:val="333333"/>
          <w:sz w:val="32"/>
          <w:szCs w:val="32"/>
        </w:rPr>
        <w:t>  </w:t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t>为强化财政支出资金管理，提高财政资金使用效益，根据《桃源县财政局关于对2018年度本级财政安排的预算资金展开绩效自评的通知》预算绩效工作安排，我们对2018年度桃源县机关事业单位社会保险处部门整体支出进行了绩效自评，形成本报告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color w:val="333333"/>
        </w:rPr>
      </w:pPr>
      <w:r>
        <w:rPr>
          <w:rFonts w:hint="eastAsia"/>
          <w:color w:val="222222"/>
          <w:sz w:val="32"/>
          <w:szCs w:val="32"/>
        </w:rPr>
        <w:t>    </w:t>
      </w:r>
      <w:r>
        <w:rPr>
          <w:rFonts w:ascii="黑体" w:eastAsia="黑体" w:hAnsi="黑体" w:cs="Times New Roman" w:hint="eastAsia"/>
          <w:color w:val="222222"/>
          <w:sz w:val="32"/>
          <w:szCs w:val="32"/>
        </w:rPr>
        <w:t>一、部门概况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（一）</w:t>
      </w:r>
      <w:r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机构、人员构成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桃源县残疾人联合会是将残疾人自身代表组织、社会福利团体和事业管理机构融为一体的联合性团体，归口县政府领导。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人员情况：县编委核定编制共13人，其中行政编制5人，事业编制8人。实有行政编制人员3人，事业编制人员8人,退休4人；临时聘请人员5人。共有股室7个，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包括办公室、康复股、残疾人辅助器具中心、宣教股、残疾人就业服务中心、维权股、组联股。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（二）</w:t>
      </w:r>
      <w:r>
        <w:rPr>
          <w:rFonts w:ascii="Times New Roman" w:hAnsi="Times New Roman" w:cs="Times New Roman"/>
          <w:color w:val="22222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单位主要职责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弘扬人道主义，宣传残疾人事业，沟通政府、社会与残疾人之间的联系，协助政府研究、制定和实施残疾人事业的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lastRenderedPageBreak/>
        <w:t>规章、规划和计划，对有关业务进行指导和管理，会同有关部门指导和管理各类残疾人社团组织。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Helvetica" w:hint="eastAsia"/>
          <w:color w:val="222222"/>
          <w:sz w:val="32"/>
          <w:szCs w:val="32"/>
        </w:rPr>
        <w:t>二</w:t>
      </w:r>
      <w:r>
        <w:rPr>
          <w:rFonts w:ascii="黑体" w:eastAsia="黑体" w:hAnsi="黑体" w:cs="Times New Roman" w:hint="eastAsia"/>
          <w:color w:val="222222"/>
          <w:sz w:val="32"/>
          <w:szCs w:val="32"/>
        </w:rPr>
        <w:t>、部门财务情况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（一）部门整体支出情况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222222"/>
          <w:sz w:val="32"/>
          <w:szCs w:val="32"/>
        </w:rPr>
        <w:t>1、公共预算财政拨款基本支出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225.86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万元，其中：人员经费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179.12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万元，（工资福利支出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175.92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万元，对个人和家庭的补助支出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3.2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万），公用经费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46.73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万元。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 w:cs="Helvetica" w:hint="eastAsia"/>
          <w:color w:val="222222"/>
          <w:sz w:val="32"/>
          <w:szCs w:val="32"/>
        </w:rPr>
      </w:pPr>
      <w:r>
        <w:rPr>
          <w:rFonts w:ascii="仿宋" w:eastAsia="仿宋" w:hAnsi="仿宋" w:cs="Helvetica" w:hint="eastAsia"/>
          <w:color w:val="222222"/>
          <w:sz w:val="32"/>
          <w:szCs w:val="32"/>
        </w:rPr>
        <w:t>2、公共预算财政拨款项目支出</w:t>
      </w:r>
      <w:r w:rsidR="00BB05B3">
        <w:rPr>
          <w:rFonts w:ascii="仿宋" w:eastAsia="仿宋" w:hAnsi="仿宋" w:cs="Helvetica" w:hint="eastAsia"/>
          <w:color w:val="222222"/>
          <w:sz w:val="32"/>
          <w:szCs w:val="32"/>
        </w:rPr>
        <w:t>1046.92</w:t>
      </w:r>
      <w:r>
        <w:rPr>
          <w:rFonts w:ascii="仿宋" w:eastAsia="仿宋" w:hAnsi="仿宋" w:cs="Helvetica" w:hint="eastAsia"/>
          <w:color w:val="222222"/>
          <w:sz w:val="32"/>
          <w:szCs w:val="32"/>
        </w:rPr>
        <w:t>万元为残疾人各类项目支出。</w:t>
      </w:r>
    </w:p>
    <w:p w:rsidR="00BB05B3" w:rsidRDefault="00BB05B3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222222"/>
          <w:sz w:val="32"/>
          <w:szCs w:val="32"/>
        </w:rPr>
        <w:t>3.政府性基金预算财政拨款项目支出48.95万元为残疾人康复项目支出。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（二）部门预算收支决算情况</w:t>
      </w:r>
    </w:p>
    <w:p w:rsidR="00BB05B3" w:rsidRDefault="00BB05B3" w:rsidP="00BB05B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仿宋" w:eastAsia="仿宋" w:hAnsi="仿宋" w:cs="Helvetica" w:hint="eastAsia"/>
          <w:color w:val="222222"/>
          <w:sz w:val="32"/>
          <w:szCs w:val="32"/>
          <w:shd w:val="clear" w:color="auto" w:fill="FFFFFF"/>
        </w:rPr>
        <w:t>1、年度收支决算情况。本单位上年结转和结余288.88万元，2018年度收入1559.9万元，支出1321.73万元，年末结转和结余527.05万元。</w:t>
      </w:r>
    </w:p>
    <w:p w:rsidR="00BB05B3" w:rsidRDefault="00BB05B3" w:rsidP="00BB05B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仿宋" w:eastAsia="仿宋" w:hAnsi="仿宋" w:cs="Helvetica" w:hint="eastAsia"/>
          <w:color w:val="222222"/>
          <w:sz w:val="32"/>
          <w:szCs w:val="32"/>
          <w:shd w:val="clear" w:color="auto" w:fill="FFFFFF"/>
        </w:rPr>
        <w:t>2、收入决算。2018年度收入决算数1559.9万元，其中，公共预算财政拨款收入1510.95万元、政府性基金预算财政拨款收入48.95万元。</w:t>
      </w:r>
    </w:p>
    <w:p w:rsidR="00BB05B3" w:rsidRDefault="00BB05B3" w:rsidP="00BB05B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仿宋" w:eastAsia="仿宋" w:hAnsi="仿宋" w:cs="Helvetica" w:hint="eastAsia"/>
          <w:color w:val="222222"/>
          <w:sz w:val="32"/>
          <w:szCs w:val="32"/>
          <w:shd w:val="clear" w:color="auto" w:fill="FFFFFF"/>
        </w:rPr>
        <w:t>3、支出决算 。2018年度支出决算数1321.73万元。其中：公共预算财政拨款支出1272.78万元、政府性基金预算财政拨款支出48.95万元。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Helvetica" w:cs="Helvetica" w:hint="eastAsia"/>
          <w:color w:val="222222"/>
          <w:sz w:val="32"/>
          <w:szCs w:val="32"/>
        </w:rPr>
        <w:t>（三） “三公经费”支出使用和管理情况</w:t>
      </w:r>
    </w:p>
    <w:p w:rsidR="00BB05B3" w:rsidRDefault="00BB05B3" w:rsidP="00BB05B3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仿宋" w:eastAsia="仿宋" w:hAnsi="仿宋" w:cs="Helvetica" w:hint="eastAsia"/>
          <w:color w:val="222222"/>
          <w:sz w:val="32"/>
          <w:szCs w:val="32"/>
          <w:shd w:val="clear" w:color="auto" w:fill="FFFFFF"/>
        </w:rPr>
        <w:lastRenderedPageBreak/>
        <w:t>2018年度公共预算财政拨款“三公”经费支出12.1万元。比上年度减少5.15万元，减率30%，减少原因是本着节约原则，增强公务接待管理。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Times New Roman" w:hint="eastAsia"/>
          <w:color w:val="222222"/>
          <w:sz w:val="32"/>
          <w:szCs w:val="32"/>
        </w:rPr>
        <w:t>三、部门绩效目标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部门</w:t>
      </w:r>
      <w:r>
        <w:rPr>
          <w:rFonts w:ascii="楷体_GB2312" w:eastAsia="楷体_GB2312" w:hAnsi="Helvetica" w:cs="Helvetica" w:hint="eastAsia"/>
          <w:color w:val="222222"/>
          <w:sz w:val="32"/>
          <w:szCs w:val="32"/>
        </w:rPr>
        <w:t>年度</w:t>
      </w:r>
      <w:r>
        <w:rPr>
          <w:rFonts w:ascii="楷体_GB2312" w:eastAsia="楷体_GB2312" w:hAnsi="Times New Roman" w:cs="Times New Roman" w:hint="eastAsia"/>
          <w:color w:val="222222"/>
          <w:sz w:val="32"/>
          <w:szCs w:val="32"/>
        </w:rPr>
        <w:t>绩效总目标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left="31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333333"/>
          <w:sz w:val="32"/>
          <w:szCs w:val="32"/>
        </w:rPr>
        <w:t>1.扎实做好残疾人基本民生保障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br/>
        <w:t>2.千方百计促进残疾人及其家庭就业增收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br/>
        <w:t>3.着力提升残疾人基本公共服务水平</w:t>
      </w:r>
      <w:r>
        <w:rPr>
          <w:rFonts w:ascii="仿宋" w:eastAsia="仿宋" w:hAnsi="仿宋" w:cs="Helvetica" w:hint="eastAsia"/>
          <w:color w:val="333333"/>
          <w:sz w:val="32"/>
          <w:szCs w:val="32"/>
        </w:rPr>
        <w:br/>
        <w:t>4.凝聚加快残疾人小康进程的合力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四、项目绩效情况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2018 年全年，项目绩效管理取得以下几个方面的效果：一是经济性突出。二是效率性显著。三是有效节约财政资金和国有资金。四是可持续性明显。 我县残疾人工作得了县委县政府领导的高度认可和高度重视。财政部门充分支持， 资金保障有力。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五、其他需要说明的问题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仿宋_GB2312" w:eastAsia="仿宋_GB2312" w:hAnsi="Helvetica" w:cs="Helvetica" w:hint="eastAsia"/>
          <w:color w:val="333333"/>
          <w:sz w:val="32"/>
          <w:szCs w:val="32"/>
        </w:rPr>
        <w:t>一是专项资金管理办法有待进一步完善健全。二是节约意识有待进一步提升。今后，我们将坚持问题导向，建立预算支出绩效评价长效机制，认真贯彻落实文件精神，进一步深化改革、创新思维，竭力推进预算支出绩效管理工作上新台阶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Helvetica" w:hint="eastAsia"/>
          <w:color w:val="333333"/>
          <w:sz w:val="32"/>
          <w:szCs w:val="32"/>
        </w:rPr>
        <w:t>六、项目评价工作情况。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Helvetica" w:hAnsi="Helvetica" w:cs="Helvetica"/>
          <w:color w:val="333333"/>
        </w:rPr>
      </w:pPr>
      <w:r>
        <w:rPr>
          <w:rFonts w:ascii="仿宋_GB2312" w:eastAsia="仿宋_GB2312" w:hAnsi="Helvetica" w:cs="Helvetica" w:hint="eastAsia"/>
          <w:color w:val="222222"/>
          <w:sz w:val="32"/>
          <w:szCs w:val="32"/>
        </w:rPr>
        <w:lastRenderedPageBreak/>
        <w:t xml:space="preserve">县残联按文件要求， 随即成立了专门的绩效评价工作组，进行专项支出评价，工作组结合单位的实际情况，整理收集相关资料、检查财务会计记录， 对照《专项资金支出绩效评价指标表》 逐条进行自查自评。2018年残疾人就业、扶贫等资金专项支出绩效评价自评得分 </w:t>
      </w:r>
      <w:r>
        <w:rPr>
          <w:rFonts w:ascii="TimesNewRomanPSMT" w:hAnsi="TimesNewRomanPSMT" w:cs="Helvetica"/>
          <w:color w:val="222222"/>
          <w:sz w:val="32"/>
          <w:szCs w:val="32"/>
        </w:rPr>
        <w:t>9</w:t>
      </w:r>
      <w:r w:rsidR="00BB05B3">
        <w:rPr>
          <w:rFonts w:ascii="TimesNewRomanPSMT" w:hAnsi="TimesNewRomanPSMT" w:cs="Helvetica" w:hint="eastAsia"/>
          <w:color w:val="222222"/>
          <w:sz w:val="32"/>
          <w:szCs w:val="32"/>
        </w:rPr>
        <w:t>5</w:t>
      </w:r>
      <w:r>
        <w:rPr>
          <w:rFonts w:ascii="TimesNewRomanPSMT" w:hAnsi="TimesNewRomanPSMT" w:cs="Helvetica"/>
          <w:color w:val="222222"/>
          <w:sz w:val="32"/>
          <w:szCs w:val="32"/>
        </w:rPr>
        <w:t xml:space="preserve"> </w:t>
      </w:r>
      <w:r>
        <w:rPr>
          <w:rFonts w:ascii="仿宋_GB2312" w:eastAsia="仿宋_GB2312" w:hAnsi="Helvetica" w:cs="Helvetica" w:hint="eastAsia"/>
          <w:color w:val="222222"/>
          <w:sz w:val="32"/>
          <w:szCs w:val="32"/>
        </w:rPr>
        <w:t>分，部门整体支出绩效为</w:t>
      </w:r>
      <w:r>
        <w:rPr>
          <w:rFonts w:ascii="TimesNewRomanPSMT" w:hAnsi="TimesNewRomanPSMT" w:cs="Helvetica"/>
          <w:color w:val="222222"/>
          <w:sz w:val="32"/>
          <w:szCs w:val="32"/>
        </w:rPr>
        <w:t>“</w:t>
      </w:r>
      <w:r>
        <w:rPr>
          <w:rFonts w:ascii="仿宋_GB2312" w:eastAsia="仿宋_GB2312" w:hAnsi="Helvetica" w:cs="Helvetica" w:hint="eastAsia"/>
          <w:color w:val="222222"/>
          <w:sz w:val="32"/>
          <w:szCs w:val="32"/>
        </w:rPr>
        <w:t>优秀</w:t>
      </w:r>
      <w:r>
        <w:rPr>
          <w:rFonts w:ascii="TimesNewRomanPSMT" w:hAnsi="TimesNewRomanPSMT" w:cs="Helvetica"/>
          <w:color w:val="222222"/>
          <w:sz w:val="32"/>
          <w:szCs w:val="32"/>
        </w:rPr>
        <w:t>”</w:t>
      </w:r>
      <w:r>
        <w:rPr>
          <w:rFonts w:ascii="仿宋_GB2312" w:eastAsia="仿宋_GB2312" w:hAnsi="Helvetica" w:cs="Helvetica" w:hint="eastAsia"/>
          <w:color w:val="222222"/>
          <w:sz w:val="32"/>
          <w:szCs w:val="32"/>
        </w:rPr>
        <w:t xml:space="preserve">。 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Times New Roman" w:hint="eastAsia"/>
          <w:color w:val="222222"/>
          <w:sz w:val="32"/>
          <w:szCs w:val="32"/>
        </w:rPr>
        <w:t>七、存在的</w:t>
      </w:r>
      <w:r>
        <w:rPr>
          <w:rFonts w:ascii="黑体" w:eastAsia="黑体" w:hAnsi="黑体" w:cs="Helvetica" w:hint="eastAsia"/>
          <w:color w:val="222222"/>
          <w:sz w:val="32"/>
          <w:szCs w:val="32"/>
        </w:rPr>
        <w:t>主要</w:t>
      </w:r>
      <w:r>
        <w:rPr>
          <w:rFonts w:ascii="黑体" w:eastAsia="黑体" w:hAnsi="黑体" w:cs="Times New Roman" w:hint="eastAsia"/>
          <w:color w:val="222222"/>
          <w:sz w:val="32"/>
          <w:szCs w:val="32"/>
        </w:rPr>
        <w:t>问题</w:t>
      </w:r>
    </w:p>
    <w:p w:rsidR="00477A5B" w:rsidRDefault="00477A5B" w:rsidP="00477A5B">
      <w:pPr>
        <w:pStyle w:val="a3"/>
        <w:shd w:val="clear" w:color="auto" w:fill="FFFFFF"/>
        <w:spacing w:before="300" w:beforeAutospacing="0" w:after="105" w:afterAutospacing="0" w:line="420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010101"/>
          <w:sz w:val="32"/>
          <w:szCs w:val="32"/>
        </w:rPr>
        <w:t>科学合理编制预算，严格执行预算</w:t>
      </w:r>
      <w:r>
        <w:rPr>
          <w:rFonts w:hint="eastAsia"/>
          <w:color w:val="010101"/>
          <w:sz w:val="32"/>
          <w:szCs w:val="32"/>
        </w:rPr>
        <w:t> </w:t>
      </w:r>
      <w:r>
        <w:rPr>
          <w:rFonts w:ascii="仿宋" w:eastAsia="仿宋" w:hAnsi="仿宋" w:cs="Helvetica" w:hint="eastAsia"/>
          <w:color w:val="010101"/>
          <w:sz w:val="32"/>
          <w:szCs w:val="32"/>
        </w:rPr>
        <w:t>。加强预算编制的前瞻性，结合上一年度预算执行情况和本年度预算收支变化因素，科学、合理地编制本年预算草案。</w:t>
      </w:r>
    </w:p>
    <w:p w:rsidR="00477A5B" w:rsidRDefault="00477A5B" w:rsidP="00477A5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Helvetica" w:hAnsi="Helvetica" w:cs="Helvetic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八、有关建议</w:t>
      </w:r>
    </w:p>
    <w:p w:rsidR="00477A5B" w:rsidRDefault="00477A5B" w:rsidP="00477A5B">
      <w:pPr>
        <w:pStyle w:val="a3"/>
        <w:shd w:val="clear" w:color="auto" w:fill="FFFFFF"/>
        <w:spacing w:before="300" w:beforeAutospacing="0" w:after="105" w:afterAutospacing="0" w:line="420" w:lineRule="atLeast"/>
        <w:ind w:firstLine="795"/>
        <w:rPr>
          <w:rFonts w:ascii="Helvetica" w:hAnsi="Helvetica" w:cs="Helvetica"/>
          <w:color w:val="333333"/>
        </w:rPr>
      </w:pPr>
      <w:r>
        <w:rPr>
          <w:rFonts w:ascii="仿宋" w:eastAsia="仿宋" w:hAnsi="仿宋" w:cs="Helvetica" w:hint="eastAsia"/>
          <w:color w:val="010101"/>
          <w:sz w:val="32"/>
          <w:szCs w:val="32"/>
        </w:rPr>
        <w:t>加强新事业单位会计制度和新预算法学习培训</w:t>
      </w:r>
      <w:r>
        <w:rPr>
          <w:rFonts w:hint="eastAsia"/>
          <w:color w:val="010101"/>
          <w:sz w:val="32"/>
          <w:szCs w:val="32"/>
        </w:rPr>
        <w:t> </w:t>
      </w:r>
      <w:r>
        <w:rPr>
          <w:rFonts w:ascii="仿宋" w:eastAsia="仿宋" w:hAnsi="仿宋" w:cs="Helvetica" w:hint="eastAsia"/>
          <w:color w:val="010101"/>
          <w:sz w:val="32"/>
          <w:szCs w:val="32"/>
        </w:rPr>
        <w:t>。加强新《预算法》、《事业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 w:rsidR="0089797A" w:rsidRDefault="0089797A"/>
    <w:sectPr w:rsidR="0089797A" w:rsidSect="0089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A5B"/>
    <w:rsid w:val="003A5B34"/>
    <w:rsid w:val="00477A5B"/>
    <w:rsid w:val="004B753E"/>
    <w:rsid w:val="0089797A"/>
    <w:rsid w:val="00BB05B3"/>
    <w:rsid w:val="00E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7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2021-06-02T11:38:00Z</dcterms:created>
  <dcterms:modified xsi:type="dcterms:W3CDTF">2021-06-02T13:18:00Z</dcterms:modified>
</cp:coreProperties>
</file>