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val="en-US"/>
        </w:rPr>
        <w:t>201</w:t>
      </w: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val="en-US" w:eastAsia="zh-CN"/>
        </w:rPr>
        <w:t>9</w:t>
      </w: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eastAsia="zh-CN"/>
        </w:rPr>
        <w:t>年度桃源县残疾人联合会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eastAsia="zh-CN"/>
        </w:rPr>
        <w:t>部门整体支出绩效评价报告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color w:val="222222"/>
          <w:sz w:val="32"/>
          <w:szCs w:val="32"/>
          <w:shd w:val="clear" w:color="auto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0"/>
        <w:jc w:val="left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 xml:space="preserve">  为强化财政支出资金管理，提高财政资金使用效益，根据《桃源县财政局关于对201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年度本级财政安排的预算资金展开绩效自评的通知》预算绩效工作安排，我们对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年度桃源县机关事业单位社会保险处部门整体支出进行了绩效自评，形成本报告。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   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一、部门概况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00" w:lineRule="atLeast"/>
        <w:ind w:left="0" w:right="0" w:firstLine="634"/>
        <w:jc w:val="both"/>
        <w:rPr>
          <w:rFonts w:asci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（一） 机构、人员构成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20" w:lineRule="atLeast"/>
        <w:ind w:left="0" w:right="0" w:firstLine="63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桃源县残疾人联合会是将残疾人自身代表组织、社会福利团体和事业管理机构融为一体的联合性团体，归口县政府领导。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20" w:lineRule="atLeast"/>
        <w:ind w:left="0" w:right="0" w:firstLine="634"/>
        <w:jc w:val="both"/>
        <w:rPr>
          <w:rFonts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人员情况：县编委核定编制共13人，其中行政编制5人，事业编制8人。实有行政编制人员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人，事业编制人员8人,退休4人；临时聘请人员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人。共有股室7个，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包括办公室、康复股、残疾人辅助器具中心、宣教股、残疾人就业服务中心、维权股、组联股。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（二） 单位主要职责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20" w:lineRule="atLeast"/>
        <w:ind w:left="0" w:right="0" w:firstLine="63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弘扬人道主义，宣传残疾人事业，沟通政府、社会与残疾人之间的联系，协助政府研究、制定和实施残疾人事业的规章、规划和计划，对有关业务进行指导和管理，会同有关部门指导和管理各类残疾人社团组织。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二、部门财务情况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（一）部门整体支出情况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1、本年度财政拨款基本支出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259.66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万元，其中：人员经费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205.03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万元，（工资福利支出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192.65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万元，对个人和家庭的补助支出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12.38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万），公用经费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54.63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2、本年度财政拨款项目支出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1612.78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万元为残疾人各类项目支出。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（二）部门预算收支决算情况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1、年度收支决算情况。本单位201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年度收入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2010.43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万元，支出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1872.43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万元，结余138万元。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2、收入决算。201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年度收入决算数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2010.43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万元，其中，公共预算财政拨款收入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1390.58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万元，政府性基金预算拨款收入92.8万元，上年结转收入527.05万元。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3、支出决算 。201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年度支出决算数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1872.43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万元。其中：基本支出259.66万元，项目支出1612.78万元。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（三） “三公经费”支出使用和管理情况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年度公共预算财政拨款“三公”经费支出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11.9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万元。比上年度减少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0.2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万元，减少原因是本着节约原则，增强公务接待管理。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三、部门绩效目标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eastAsia="楷体_GB2312" w:cs="楷体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部门年度绩效总目标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317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1.扎实做好残疾人基本民生保障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2.千方百计促进残疾人及其家庭就业增收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3.着力提升残疾人基本公共服务水平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4.凝聚加快残疾人小康进程的合力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46" w:lineRule="atLeast"/>
        <w:ind w:left="0" w:right="0" w:firstLine="634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四、项目绩效情况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46" w:lineRule="atLeast"/>
        <w:ind w:left="0" w:right="0" w:firstLine="634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年全年，项目绩效管理取得以下几个方面的效果：一是经济性突出。二是效率性显著。三是有效节约财政资金和国有资金。四是可持续性明显。 我县残疾人工作得了县委县政府领导的高度认可和高度重视。财政部门充分支持， 资金保障有力。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46" w:lineRule="atLeast"/>
        <w:ind w:left="0" w:right="0" w:firstLine="634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五、其他需要说明的问题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46" w:lineRule="atLeast"/>
        <w:ind w:left="0" w:right="0" w:firstLine="634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专项资金管理办法有待进一步完善健全。二是节约意识有待进一步提升。今后，我们将坚持问题导向，建立预算支出绩效评价长效机制，认真贯彻落实文件精神，进一步深化改革、创新思维，竭力推进预算支出绩效管理工作上新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46" w:lineRule="atLeast"/>
        <w:ind w:left="0" w:right="0" w:firstLine="634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六、项目评价工作情况。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346" w:lineRule="atLeast"/>
        <w:ind w:left="0" w:right="0" w:firstLine="634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县残联按文件要求， 随即成立了专门的绩效评价工作组，进行专项支出评价，工作组结合单位的实际情况，整理收集相关资料、检查财务会计记录， 对照《专项资金支出绩效评价指标表》 逐条进行自查自评。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2019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 xml:space="preserve">年残疾人就业、扶贫等资金专项支出绩效评价自评得分 </w:t>
      </w:r>
      <w:r>
        <w:rPr>
          <w:rFonts w:ascii="TimesNewRomanPSMT" w:hAnsi="TimesNewRomanPSMT" w:eastAsia="TimesNewRomanPSMT" w:cs="TimesNewRomanPSMT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9</w:t>
      </w:r>
      <w:r>
        <w:rPr>
          <w:rFonts w:hint="default" w:ascii="TimesNewRomanPSMT" w:hAnsi="TimesNewRomanPSMT" w:eastAsia="TimesNewRomanPSMT" w:cs="TimesNewRomanPSMT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5 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分，部门整体支出绩效为</w:t>
      </w:r>
      <w:r>
        <w:rPr>
          <w:rFonts w:hint="default" w:ascii="TimesNewRomanPSMT" w:hAnsi="TimesNewRomanPSMT" w:eastAsia="TimesNewRomanPSMT" w:cs="TimesNewRomanPSMT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优秀</w:t>
      </w:r>
      <w:r>
        <w:rPr>
          <w:rFonts w:hint="default" w:ascii="TimesNewRomanPSMT" w:hAnsi="TimesNewRomanPSMT" w:eastAsia="TimesNewRomanPSMT" w:cs="TimesNewRomanPSMT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 xml:space="preserve">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七、存在的主要问题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300" w:beforeAutospacing="0" w:after="100" w:afterAutospacing="0" w:line="420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eastAsia="zh-CN"/>
        </w:rPr>
        <w:t>科学合理编制预算，严格执行预算 。加强预算编制的前瞻性，结合上一年度预算执行情况和本年度预算收支变化因素，科学、合理地编制本年预算草案。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634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八、有关建议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300" w:beforeAutospacing="0" w:after="100" w:afterAutospacing="0" w:line="420" w:lineRule="atLeast"/>
        <w:ind w:left="0" w:right="0" w:firstLine="806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10101"/>
          <w:spacing w:val="0"/>
          <w:sz w:val="32"/>
          <w:szCs w:val="32"/>
          <w:shd w:val="clear" w:fill="FFFFFF"/>
          <w:lang w:eastAsia="zh-CN"/>
        </w:rPr>
        <w:t>加强新事业单位会计制度和新预算法学习培训 。加强新《预算法》、《事业单位会计制度》等学习培训，规范部门预算收支核算，一是制定和完善基本支出、项目支出等各项支出标准，严格按项目和进度执行预算，增强预算的约束力和严肃性。二是落实预算执行分析，及时了解预算执行差异，合理调整、纠正预算执行偏差，切实提高部门预算收支管理水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F725F"/>
    <w:rsid w:val="56E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2021-06-02T16:09:00Z</dcterms:created>
  <dc:creator>Administrator</dc:creator>
  <cp:lastModifiedBy>Administrator</cp:lastModifiedBy>
  <dcterms:modified xsi:type="dcterms:W3CDTF">2021-06-02T16:09:42Z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9665E92359104F95B65BF0AF68BF0DF6</vt:lpwstr>
  </property>
</Properties>
</file>