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0B" w:rsidRDefault="0006214D">
      <w:pPr>
        <w:spacing w:line="560" w:lineRule="exact"/>
        <w:jc w:val="center"/>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2018年度县人大机关部门整体支出</w:t>
      </w:r>
    </w:p>
    <w:p w:rsidR="00C3050B" w:rsidRDefault="0006214D">
      <w:pPr>
        <w:spacing w:line="560" w:lineRule="exact"/>
        <w:jc w:val="center"/>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绩效报告</w:t>
      </w:r>
    </w:p>
    <w:p w:rsidR="00C3050B" w:rsidRDefault="00C3050B">
      <w:pPr>
        <w:spacing w:line="560" w:lineRule="exact"/>
        <w:jc w:val="center"/>
        <w:rPr>
          <w:rFonts w:asciiTheme="majorEastAsia" w:eastAsiaTheme="majorEastAsia" w:hAnsiTheme="majorEastAsia" w:cstheme="majorEastAsia"/>
          <w:kern w:val="0"/>
          <w:sz w:val="44"/>
          <w:szCs w:val="44"/>
        </w:rPr>
      </w:pPr>
    </w:p>
    <w:p w:rsidR="00C3050B" w:rsidRDefault="0006214D">
      <w:pPr>
        <w:widowControl/>
        <w:spacing w:line="560" w:lineRule="exact"/>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为强化财政支出资金管理，提高财政资金使用效益，根据《桃源县财政局关于对2018年度本级财政安排的预算资金展开绩效自评的通知》（桃财函〔2019〕13号）预算绩效工作安排，我们对2018年度县人大机关部门整体支出进行了绩效评价，形成本报告。</w:t>
      </w:r>
    </w:p>
    <w:p w:rsidR="00C3050B" w:rsidRDefault="0006214D">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一、部门概况</w:t>
      </w:r>
    </w:p>
    <w:p w:rsidR="00C3050B" w:rsidRDefault="0006214D">
      <w:pPr>
        <w:widowControl/>
        <w:spacing w:line="560" w:lineRule="exact"/>
        <w:ind w:firstLine="640"/>
        <w:rPr>
          <w:rFonts w:ascii="仿宋_GB2312" w:eastAsia="仿宋_GB2312" w:hAnsi="Times New Roman"/>
          <w:color w:val="222222"/>
          <w:kern w:val="0"/>
          <w:sz w:val="32"/>
          <w:szCs w:val="32"/>
        </w:rPr>
      </w:pPr>
      <w:r>
        <w:rPr>
          <w:rFonts w:ascii="仿宋_GB2312" w:eastAsia="仿宋_GB2312" w:hAnsi="仿宋" w:cs="仿宋" w:hint="eastAsia"/>
          <w:color w:val="222222"/>
          <w:kern w:val="0"/>
          <w:sz w:val="32"/>
          <w:szCs w:val="32"/>
        </w:rPr>
        <w:t>（一）县人大机关在职人员42人，离退休人员43人。由办公室、联工委、民族华侨外事委员会、司法和监察委员会、财政经济委员会、教科文卫委员会、环境与资源保护委员会、农业与农村委员会、社会建设委员会等9个正科级内设机构组成。办公室负责机关日常工作。</w:t>
      </w:r>
    </w:p>
    <w:p w:rsidR="00C3050B" w:rsidRDefault="0006214D">
      <w:pPr>
        <w:snapToGrid w:val="0"/>
        <w:spacing w:line="560" w:lineRule="exact"/>
        <w:ind w:firstLineChars="200" w:firstLine="640"/>
        <w:rPr>
          <w:rFonts w:ascii="仿宋" w:eastAsia="仿宋" w:hAnsi="仿宋" w:cs="仿宋"/>
          <w:color w:val="222222"/>
          <w:kern w:val="0"/>
          <w:sz w:val="32"/>
          <w:szCs w:val="32"/>
        </w:rPr>
      </w:pPr>
      <w:r>
        <w:rPr>
          <w:rFonts w:ascii="仿宋_GB2312" w:eastAsia="仿宋_GB2312" w:hAnsi="仿宋" w:cs="仿宋" w:hint="eastAsia"/>
          <w:color w:val="222222"/>
          <w:kern w:val="0"/>
          <w:sz w:val="32"/>
          <w:szCs w:val="32"/>
        </w:rPr>
        <w:t>（二）</w:t>
      </w:r>
      <w:r>
        <w:rPr>
          <w:rFonts w:ascii="仿宋" w:eastAsia="仿宋" w:hAnsi="仿宋" w:cs="仿宋" w:hint="eastAsia"/>
          <w:sz w:val="32"/>
          <w:szCs w:val="32"/>
        </w:rPr>
        <w:t>工作职能主要是监督“一府一委两院”的工作，保障法律法规在本辖区内的贯彻实施，联系人大代表。</w:t>
      </w:r>
    </w:p>
    <w:p w:rsidR="00C3050B" w:rsidRDefault="0006214D">
      <w:pPr>
        <w:widowControl/>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二、部门财务情况</w:t>
      </w:r>
    </w:p>
    <w:p w:rsidR="00C3050B" w:rsidRDefault="0006214D">
      <w:pPr>
        <w:widowControl/>
        <w:spacing w:line="560" w:lineRule="exact"/>
        <w:ind w:firstLine="640"/>
        <w:rPr>
          <w:rFonts w:ascii="楷体" w:eastAsia="楷体" w:hAnsi="楷体" w:cs="楷体"/>
          <w:kern w:val="0"/>
          <w:sz w:val="32"/>
          <w:szCs w:val="32"/>
        </w:rPr>
      </w:pPr>
      <w:r>
        <w:rPr>
          <w:rFonts w:ascii="楷体" w:eastAsia="楷体" w:hAnsi="楷体" w:cs="楷体" w:hint="eastAsia"/>
          <w:kern w:val="0"/>
          <w:sz w:val="32"/>
          <w:szCs w:val="32"/>
        </w:rPr>
        <w:t>（一）部门整体收支出情况。</w:t>
      </w:r>
    </w:p>
    <w:p w:rsidR="00C3050B" w:rsidRPr="00C01037" w:rsidRDefault="0006214D">
      <w:pPr>
        <w:widowControl/>
        <w:spacing w:line="560" w:lineRule="exact"/>
        <w:ind w:firstLine="640"/>
        <w:rPr>
          <w:rFonts w:ascii="仿宋" w:eastAsia="仿宋" w:hAnsi="仿宋" w:cs="仿宋_GB2312"/>
          <w:sz w:val="32"/>
          <w:szCs w:val="32"/>
        </w:rPr>
      </w:pPr>
      <w:r>
        <w:rPr>
          <w:rFonts w:ascii="仿宋" w:eastAsia="仿宋" w:hAnsi="仿宋" w:cs="仿宋_GB2312" w:hint="eastAsia"/>
          <w:sz w:val="32"/>
          <w:szCs w:val="32"/>
        </w:rPr>
        <w:t>2018年公共预算财政拨款基本支出1124.48万元，</w:t>
      </w:r>
      <w:r w:rsidRPr="00C01037">
        <w:rPr>
          <w:rFonts w:ascii="仿宋" w:eastAsia="仿宋" w:hAnsi="仿宋" w:cs="仿宋_GB2312" w:hint="eastAsia"/>
          <w:sz w:val="32"/>
          <w:szCs w:val="32"/>
        </w:rPr>
        <w:t>其中：基本支出773.46万元；项目支出351.02万元；</w:t>
      </w:r>
      <w:r w:rsidR="005732F3" w:rsidRPr="00C01037">
        <w:rPr>
          <w:rFonts w:ascii="仿宋" w:eastAsia="仿宋" w:hAnsi="仿宋" w:cs="仿宋_GB2312" w:hint="eastAsia"/>
          <w:sz w:val="32"/>
          <w:szCs w:val="32"/>
        </w:rPr>
        <w:t>其中工资福利支出516.18万元，</w:t>
      </w:r>
      <w:r w:rsidRPr="00C01037">
        <w:rPr>
          <w:rFonts w:ascii="仿宋" w:eastAsia="仿宋" w:hAnsi="仿宋" w:cs="仿宋_GB2312" w:hint="eastAsia"/>
          <w:sz w:val="32"/>
          <w:szCs w:val="32"/>
        </w:rPr>
        <w:t>商品和服务</w:t>
      </w:r>
      <w:r w:rsidRPr="00C01037">
        <w:rPr>
          <w:rFonts w:ascii="仿宋" w:eastAsia="仿宋" w:hAnsi="仿宋" w:cs="仿宋" w:hint="eastAsia"/>
          <w:sz w:val="32"/>
          <w:szCs w:val="32"/>
        </w:rPr>
        <w:t>支出476.84万元</w:t>
      </w:r>
      <w:r w:rsidR="005732F3" w:rsidRPr="00C01037">
        <w:rPr>
          <w:rFonts w:ascii="仿宋" w:eastAsia="仿宋" w:hAnsi="仿宋" w:cs="仿宋" w:hint="eastAsia"/>
          <w:sz w:val="32"/>
          <w:szCs w:val="32"/>
        </w:rPr>
        <w:t>，对个人和家庭支出105.60万元，其他资本性支出25.86万元</w:t>
      </w:r>
      <w:r w:rsidRPr="00C01037">
        <w:rPr>
          <w:rFonts w:ascii="仿宋" w:eastAsia="仿宋" w:hAnsi="仿宋" w:cs="仿宋_GB2312" w:hint="eastAsia"/>
          <w:sz w:val="32"/>
          <w:szCs w:val="32"/>
        </w:rPr>
        <w:t>。</w:t>
      </w:r>
    </w:p>
    <w:p w:rsidR="00C3050B" w:rsidRDefault="0006214D">
      <w:pPr>
        <w:widowControl/>
        <w:numPr>
          <w:ilvl w:val="0"/>
          <w:numId w:val="1"/>
        </w:numPr>
        <w:spacing w:line="560" w:lineRule="exact"/>
        <w:ind w:firstLine="640"/>
        <w:rPr>
          <w:rFonts w:ascii="楷体" w:eastAsia="楷体" w:hAnsi="楷体" w:cs="楷体"/>
          <w:kern w:val="0"/>
          <w:sz w:val="32"/>
          <w:szCs w:val="32"/>
        </w:rPr>
      </w:pPr>
      <w:r>
        <w:rPr>
          <w:rFonts w:ascii="楷体" w:eastAsia="楷体" w:hAnsi="楷体" w:cs="楷体" w:hint="eastAsia"/>
          <w:kern w:val="0"/>
          <w:sz w:val="32"/>
          <w:szCs w:val="32"/>
        </w:rPr>
        <w:t>部门预算收支决算情况。</w:t>
      </w:r>
    </w:p>
    <w:p w:rsidR="00C3050B" w:rsidRDefault="0006214D">
      <w:pPr>
        <w:widowControl/>
        <w:spacing w:line="560" w:lineRule="exact"/>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lastRenderedPageBreak/>
        <w:t>2018年预算收入1587.61万元、支出1587.61万元；实际决算收入1299.75万元、支出1124.48万元，结转下年175.27万元，主要是因政策原因预算的400万元办公楼危房改造项目未实施，资金财政年底收回。</w:t>
      </w:r>
    </w:p>
    <w:p w:rsidR="00C3050B" w:rsidRDefault="0006214D">
      <w:pPr>
        <w:widowControl/>
        <w:numPr>
          <w:ilvl w:val="0"/>
          <w:numId w:val="1"/>
        </w:numPr>
        <w:spacing w:line="560" w:lineRule="exact"/>
        <w:ind w:firstLine="640"/>
        <w:rPr>
          <w:rFonts w:ascii="楷体" w:eastAsia="楷体" w:hAnsi="楷体" w:cs="楷体"/>
          <w:color w:val="222222"/>
          <w:kern w:val="0"/>
          <w:sz w:val="32"/>
          <w:szCs w:val="32"/>
        </w:rPr>
      </w:pPr>
      <w:r>
        <w:rPr>
          <w:rFonts w:ascii="楷体" w:eastAsia="楷体" w:hAnsi="楷体" w:cs="楷体" w:hint="eastAsia"/>
          <w:color w:val="222222"/>
          <w:kern w:val="0"/>
          <w:sz w:val="32"/>
          <w:szCs w:val="32"/>
        </w:rPr>
        <w:t>“三公经费”支出使用和管理情况。</w:t>
      </w:r>
    </w:p>
    <w:p w:rsidR="00C3050B" w:rsidRDefault="0006214D">
      <w:pPr>
        <w:widowControl/>
        <w:spacing w:line="560" w:lineRule="exact"/>
        <w:ind w:firstLineChars="300" w:firstLine="960"/>
        <w:rPr>
          <w:rFonts w:ascii="仿宋_GB2312" w:eastAsia="仿宋_GB2312" w:hAnsi="仿宋" w:cs="仿宋"/>
          <w:kern w:val="0"/>
          <w:sz w:val="32"/>
          <w:szCs w:val="32"/>
        </w:rPr>
      </w:pPr>
      <w:r>
        <w:rPr>
          <w:rFonts w:ascii="仿宋_GB2312" w:eastAsia="仿宋_GB2312" w:hAnsi="仿宋" w:cs="仿宋" w:hint="eastAsia"/>
          <w:color w:val="222222"/>
          <w:kern w:val="0"/>
          <w:sz w:val="32"/>
          <w:szCs w:val="32"/>
        </w:rPr>
        <w:t>2018年公务接待费预算50万元，决算49万元，无出国（境）费用，无公务车购置费、公务车运行费（公务车由县机关事务管理中心统一调度安排），比上年度有所减少。为加强对</w:t>
      </w:r>
      <w:r>
        <w:rPr>
          <w:rFonts w:ascii="仿宋_GB2312" w:eastAsia="仿宋_GB2312" w:hAnsi="仿宋" w:cs="仿宋" w:hint="eastAsia"/>
          <w:kern w:val="0"/>
          <w:sz w:val="32"/>
          <w:szCs w:val="32"/>
        </w:rPr>
        <w:t>三公经费的管理，县人大机关专门制定了《桃源县人大机关财务管理制度》、《桃源县人大常委会机关公务接待管理制度》、《桃源县人大常委会机关公务车辆管理办法》，用制度管人、管事。</w:t>
      </w:r>
    </w:p>
    <w:p w:rsidR="00C3050B" w:rsidRDefault="0006214D">
      <w:pPr>
        <w:widowControl/>
        <w:spacing w:line="560" w:lineRule="exact"/>
        <w:ind w:firstLineChars="300" w:firstLine="96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三、部门绩效目标</w:t>
      </w:r>
    </w:p>
    <w:p w:rsidR="00C3050B" w:rsidRDefault="0006214D">
      <w:pPr>
        <w:widowControl/>
        <w:spacing w:line="560" w:lineRule="exact"/>
        <w:ind w:firstLine="640"/>
        <w:rPr>
          <w:rFonts w:ascii="楷体" w:eastAsia="楷体" w:hAnsi="楷体" w:cs="楷体"/>
          <w:color w:val="222222"/>
          <w:kern w:val="0"/>
          <w:sz w:val="32"/>
          <w:szCs w:val="32"/>
        </w:rPr>
      </w:pPr>
      <w:r>
        <w:rPr>
          <w:rFonts w:ascii="楷体" w:eastAsia="楷体" w:hAnsi="楷体" w:cs="楷体" w:hint="eastAsia"/>
          <w:color w:val="222222"/>
          <w:kern w:val="0"/>
          <w:sz w:val="32"/>
          <w:szCs w:val="32"/>
        </w:rPr>
        <w:t>（一）部门绩效总目标：</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深入贯彻落实党的十九大精神，围绕县委“奋斗新三年、挺进十强县”的重大决策部署，聚焦全县人民诉求关切，认真履行宪法和法律赋予的职责，不断开创我县人大工作新局面。</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w:t>
      </w:r>
      <w:r>
        <w:rPr>
          <w:rFonts w:ascii="楷体" w:eastAsia="楷体" w:hAnsi="楷体" w:cs="楷体" w:hint="eastAsia"/>
          <w:color w:val="222222"/>
          <w:kern w:val="0"/>
          <w:sz w:val="32"/>
          <w:szCs w:val="32"/>
        </w:rPr>
        <w:t>二）2018年度部门绩效目标</w:t>
      </w:r>
      <w:r>
        <w:rPr>
          <w:rFonts w:ascii="仿宋_GB2312" w:eastAsia="仿宋_GB2312" w:hAnsi="仿宋" w:cs="仿宋" w:hint="eastAsia"/>
          <w:color w:val="222222"/>
          <w:kern w:val="0"/>
          <w:sz w:val="32"/>
          <w:szCs w:val="32"/>
        </w:rPr>
        <w:t>：</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1、适时筹备人大常委会审议县监察委员会工作、“十三五”规划实施、计划和财政决算、脱贫攻坚、政府性重大投融资、重大建设工程、重大民生项目、重大专项资金安排、重大国有资产处置、生态环境保护、“河长制”工作等。</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2、围绕三次大会政府工作报告承诺的重点工作、重点内容、重点项目开展跟踪监督，适时审议政府年度城乡规划实施、环境</w:t>
      </w:r>
      <w:r>
        <w:rPr>
          <w:rFonts w:ascii="仿宋_GB2312" w:eastAsia="仿宋_GB2312" w:hAnsi="仿宋" w:cs="仿宋" w:hint="eastAsia"/>
          <w:color w:val="222222"/>
          <w:kern w:val="0"/>
          <w:sz w:val="32"/>
          <w:szCs w:val="32"/>
        </w:rPr>
        <w:lastRenderedPageBreak/>
        <w:t>状况和环境保护目标完成、城建项目资金使用、人民满意政府建设、“十三五”规划中期评估、农村土地产权制度改革、全域旅游示范县建设、高新技术产业发展等工作情况的报告，组织相关工作视察，9月份召开政情通报会，向代表通报情况，回答代表询问。</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3、财政监督坚持“有预算不超支、无预算不开支”、“用钱要问效、无效要问责”的原则，进一步促进财政的公平与绩效。及时听取和审议县政府投融资工作情况报告，严格融资资金的举借、管理、使用、化债全过程监督。</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4、做好法官、检察官履职评议，重点就民事审判执行工作、民事行政检察工作以及《义务教育法》、《湖南省中小学幼儿园规划建设条例》贯彻落实，开展工作监督和执法检查。</w:t>
      </w:r>
    </w:p>
    <w:p w:rsidR="00C3050B" w:rsidRDefault="0006214D">
      <w:pPr>
        <w:widowControl/>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四、绩效评价工作情况</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在评价过程中，组织实施了包括收集资料、检查财务会计工作、听取代表意见建议等方式，进行各项评价。</w:t>
      </w:r>
    </w:p>
    <w:p w:rsidR="00C3050B" w:rsidRDefault="0006214D">
      <w:pPr>
        <w:widowControl/>
        <w:spacing w:line="560" w:lineRule="exact"/>
        <w:ind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五、综合评价结果</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经综合考评，2018年桃源县人大机关整体支出绩效评价97分，评价等级为：</w:t>
      </w:r>
      <w:bookmarkStart w:id="0" w:name="_GoBack"/>
      <w:bookmarkEnd w:id="0"/>
      <w:r>
        <w:rPr>
          <w:rFonts w:ascii="仿宋_GB2312" w:eastAsia="仿宋_GB2312" w:hAnsi="仿宋" w:cs="仿宋" w:hint="eastAsia"/>
          <w:color w:val="222222"/>
          <w:kern w:val="0"/>
          <w:sz w:val="32"/>
          <w:szCs w:val="32"/>
        </w:rPr>
        <w:t>“优”。</w:t>
      </w:r>
    </w:p>
    <w:p w:rsidR="00C3050B" w:rsidRDefault="0006214D">
      <w:pPr>
        <w:widowControl/>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六、部门整体支出绩效情况</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2018年依法召开人民代表大会1次，人大常委会9次，主任会议12次，听取和审议专项工作报告27个，作出决议决定19项，交办审议意见8件，组织开展集中视察、执法检查、专项督查15次，任免国家机关工作人员60人次。</w:t>
      </w:r>
    </w:p>
    <w:p w:rsidR="00C3050B" w:rsidRDefault="0006214D">
      <w:pPr>
        <w:widowControl/>
        <w:spacing w:line="560" w:lineRule="exact"/>
        <w:ind w:firstLine="641"/>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lastRenderedPageBreak/>
        <w:t>1、推动“三大攻坚战”深入实施。防范债务风险。审议了全县国有资产、国有公司管理和县政府债务管理使用情况，建立了政府向人大报告国有资产管理情况制度，严格落实“停、缓、调、撤”要求，稳步推进融资平台公司整合与转型，尽力降低财政风险。助推脱贫攻坚。督促政府落实人大常委会脱贫攻坚审议意见，精准基础信息台账、培育发展扶贫产业、实施教育健康扶贫、提升兜底保障水平、加强资金运行监控；组织人大代表帮联贫困户3545户，落实帮联资金近500万元，累积解决问题2300多个。关注污染治理。审议政府年度环境状况和环境保护目标完成情况，代表关注的沅江流域砂石码头堆场清理、饮用水水源保护区和县城禁养区规模养殖场退出等一批多年未解决的突出问题得到较好解决。</w:t>
      </w:r>
    </w:p>
    <w:p w:rsidR="00C3050B" w:rsidRDefault="0006214D">
      <w:pPr>
        <w:widowControl/>
        <w:spacing w:line="560" w:lineRule="exact"/>
        <w:ind w:firstLine="641"/>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2、力促经济发展环境优化。按照市委、市人大和县委要求，组织全体人大代表，启动了对县政府25个工作部门优化经济发展环境工作的评议。通过走访调查、明察暗访，以清单方式向政府交办问题206条；通过日常评估和企业、代表、常委会组成人员的测评打分，有效传导了压力，收到了较好效果。政府及相关部门积极整改交办问题，围绕“最多跑一次”改革目标，及时下放审批权限，大力推行“一窗办、一次办、就近办、网上办”，全县经济发展环境改善明显。</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3、完成县委中心工作。按照县委研究的意见，依法作出决定，及时批准政府实施省道S306、S227线灾毁恢复重建工程，县城观音巷、通信设备厂、桃纺西苑社区棚户区改造等重大项目</w:t>
      </w:r>
      <w:r>
        <w:rPr>
          <w:rFonts w:ascii="仿宋_GB2312" w:eastAsia="仿宋_GB2312" w:hAnsi="仿宋" w:cs="仿宋" w:hint="eastAsia"/>
          <w:color w:val="222222"/>
          <w:kern w:val="0"/>
          <w:sz w:val="32"/>
          <w:szCs w:val="32"/>
        </w:rPr>
        <w:lastRenderedPageBreak/>
        <w:t>5个，依法处置储备地块54宗、国有资产2宗，积极参与漳江阁棚改、陬市镇“五场一工地”扬尘治理、柳叶大道西延线千亩回报土地腾地交地、处理桃花源商业步行街遗留问题、杰新纺织整体搬迁、县域地名管理、非洲猪瘟防控等中心工作。</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4、关注经济运行。听取和审议政府国民经济和社会发展计划执行、“十三五”规划纲要实施等专项工作报告，并对“十三五”规划实施中期评估情况进行了专题调研。</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5、督促规划执行。将听取和审议政府城乡规划实施情况列为常委会每年“固定议题”，全面加强规划监督。特别是针对我县规划管控“刚性不够”的问题，明确提出构建约束机制、强化批后监管、严查违法行为的审议意见，得到了政府的认可与执行。</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6、推进产业发展。积极响应县委“产业立县三年行动”，牵头负责“智能制造军民融合”产业开发，对全县工业项目建设、外向型经济发展、优化营商环境开展专题视察，听取和审议县政府高新技术产业发展、全域旅游示范县创建等工作情况报告，并提出相关审议意见。组织代表集中视察枫林花海、温德姆温泉酒店、茶旅文化等特色旅游项目，对相关重点旅游乡镇开展调研座谈，提出的“加快完善规划、科学开发资源、推进产业融合、健全保障机制”等审议意见得到政府重视，并在预算调整时，得到了相应资金的保障。</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7、严格预决算审查。按照中央的要求，对财政预算全面实行绩效评价监督，推动建立“用钱要问效、无效要问责”的财政资金使用管理制度。年内，我们对县政府财政决算、预算执行及</w:t>
      </w:r>
      <w:r>
        <w:rPr>
          <w:rFonts w:ascii="仿宋_GB2312" w:eastAsia="仿宋_GB2312" w:hAnsi="仿宋" w:cs="仿宋" w:hint="eastAsia"/>
          <w:color w:val="222222"/>
          <w:kern w:val="0"/>
          <w:sz w:val="32"/>
          <w:szCs w:val="32"/>
        </w:rPr>
        <w:lastRenderedPageBreak/>
        <w:t>调整、“同级审”指出问题整改、相关财政重点专项绩效管理等工作进行了审议和满意度测评，列出问题清单，开展跟踪督导，强化结果运用，提高了财政资金使用效益。特别是绩效评价和运行监控的结果运用已经与预算编制和预算调整紧密挂钩，在一个财政年度内共调减财政专项5个255万元，调增专项1个223万元。</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8、强化司法执法活动监督。听取和审议“一府一委两院”关于“扫黑除恶”专项斗争工作情况的报告，听取和审议县人民法院民事执行、县人民检察院民事诉讼活动监督情况的报告，在全市率先作出《依法推进公益诉讼的决议》，支持县检察院依法开展公益诉讼，重拳出击生态环境、资源保护、食品药品安全、国有资产、国有土地领域的违法行为，为国家利益和社会公共利益代言；高度重视人大信访工作，用心用情办好来信来访，全年受理群众来信来访131件227人次，召集信访案件研讨会6次，有力推动了一批涉法涉诉疑难问题的解决。</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9、强化重大民生问题监督。关注农村土地确权。听取和审议县政府农村土地确权与三权分置改革情况报告，围绕政策宣传、平台建设、配套措施等提出意见建议，要求全县农村土地承包经营权依法流转、保障农民利益。开展《种子法》执法检查。市、县人大联动，深入了解全县种子市场秩序，重点检查生产经营中存在的突出问题，要求进一步强化政府监管责任，建立救灾备荒种子储备资金，落实质量标签制度，从严查处违法违规行为，保障种子安全。推动农村养老事业发展。听取和审议了县政府农村</w:t>
      </w:r>
      <w:r>
        <w:rPr>
          <w:rFonts w:ascii="仿宋_GB2312" w:eastAsia="仿宋_GB2312" w:hAnsi="仿宋" w:cs="仿宋" w:hint="eastAsia"/>
          <w:color w:val="222222"/>
          <w:kern w:val="0"/>
          <w:sz w:val="32"/>
          <w:szCs w:val="32"/>
        </w:rPr>
        <w:lastRenderedPageBreak/>
        <w:t>敬老院建设与管理工作专项情况报告，提出的有序推进中心敬老院建设、适度提高保障标准、迅速开展安全隐患整治等意见得到很好落实。每年安排100万元敬老院维修经费、每所敬老院增加3万元工作经费等项目已纳入常年财政预算。</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10、强化“五行”活动开展。“环保世纪行”以“保护水环境、守住绿水青山”为主题，突出中央环保督查、省巡视交办问题整改，一些多年未解决的生态环境问题得到较好的解决。“农产品质量安全行”以“绿色、质量、品牌”为主题，强化全程管控，努力保障全县人民“舌尖上的安全”。“农民健康行”以“促进健康村镇建设”为主题，突出开展“健康扶贫工程”、加强基本公共卫生服务。“民族团结进步行动”以“推进特色村寨创建”为主题，突出特色文化传承和基础设施改善，助推了民族地区经济社会健康发展。“司法公正常德行”以“暖企”活动为主题，对法官、检察官开展履职评议，对司法执法案卷开展交叉评查，规范了涉企司法执法行为。</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11、提升代表履职能力。作出代表届内轮训制度安排，实施代表履职培训规划，年内组织100余名代表分赴厦门大学、浙江大学开展集中学习。增加代表列席县人大常委会、参加执法检查、工作视察、工作评议的人数，组织代表参与“优化经济发展环境”等重要调研，建设代表履职网络服务平台，畅通代表知情知政渠道。</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12、增强建议办理实效。县十七届人大三次会议代表提出的86件建议，已经解决和基本解决的建议有22件，占26%；正在</w:t>
      </w:r>
      <w:r>
        <w:rPr>
          <w:rFonts w:ascii="仿宋_GB2312" w:eastAsia="仿宋_GB2312" w:hAnsi="仿宋" w:cs="仿宋" w:hint="eastAsia"/>
          <w:color w:val="222222"/>
          <w:kern w:val="0"/>
          <w:sz w:val="32"/>
          <w:szCs w:val="32"/>
        </w:rPr>
        <w:lastRenderedPageBreak/>
        <w:t>解决和列入规划解决的有55件，占64%；因条件所限无法解决的有9件，占10%。为提高代表建议办理质量，我们提请县委研究，将代表建议办理工作列入县直单位年度绩效考核内容（分值10分），并对代表建议的交办、办理、督办明确了工作程序、严格了各方责任。</w:t>
      </w:r>
    </w:p>
    <w:p w:rsidR="00C3050B" w:rsidRDefault="0006214D">
      <w:pPr>
        <w:pStyle w:val="a5"/>
        <w:spacing w:before="0" w:beforeAutospacing="0" w:after="0" w:afterAutospacing="0" w:line="560" w:lineRule="exact"/>
        <w:rPr>
          <w:rFonts w:ascii="Times New Roman" w:eastAsia="黑体" w:hAnsi="Times New Roman" w:cs="黑体"/>
          <w:color w:val="222222"/>
          <w:sz w:val="32"/>
          <w:szCs w:val="32"/>
        </w:rPr>
      </w:pPr>
      <w:r>
        <w:rPr>
          <w:rFonts w:ascii="Times New Roman" w:eastAsia="黑体" w:hAnsi="Times New Roman" w:cs="黑体" w:hint="eastAsia"/>
          <w:color w:val="222222"/>
          <w:sz w:val="32"/>
          <w:szCs w:val="32"/>
        </w:rPr>
        <w:t xml:space="preserve">    </w:t>
      </w:r>
      <w:r>
        <w:rPr>
          <w:rFonts w:ascii="Times New Roman" w:eastAsia="黑体" w:hAnsi="Times New Roman" w:cs="黑体" w:hint="eastAsia"/>
          <w:color w:val="222222"/>
          <w:sz w:val="32"/>
          <w:szCs w:val="32"/>
        </w:rPr>
        <w:t>七、存在的主要问题</w:t>
      </w:r>
    </w:p>
    <w:p w:rsidR="00C3050B" w:rsidRDefault="0006214D">
      <w:pPr>
        <w:widowControl/>
        <w:spacing w:line="560" w:lineRule="exact"/>
        <w:ind w:firstLine="640"/>
        <w:rPr>
          <w:rFonts w:ascii="仿宋_GB2312" w:eastAsia="仿宋_GB2312" w:hAnsi="仿宋" w:cs="仿宋"/>
          <w:color w:val="222222"/>
          <w:kern w:val="0"/>
          <w:sz w:val="32"/>
          <w:szCs w:val="32"/>
        </w:rPr>
      </w:pPr>
      <w:r>
        <w:rPr>
          <w:rFonts w:ascii="仿宋_GB2312" w:eastAsia="仿宋_GB2312" w:hAnsi="仿宋" w:cs="仿宋" w:hint="eastAsia"/>
          <w:color w:val="222222"/>
          <w:kern w:val="0"/>
          <w:sz w:val="32"/>
          <w:szCs w:val="32"/>
        </w:rPr>
        <w:t>一是专项资金管理办法有待进一步完善健全。二是节约意识有待进一步提升。</w:t>
      </w:r>
    </w:p>
    <w:p w:rsidR="00C3050B" w:rsidRDefault="0006214D">
      <w:pPr>
        <w:pStyle w:val="a5"/>
        <w:spacing w:before="0" w:beforeAutospacing="0" w:after="0" w:afterAutospacing="0" w:line="560" w:lineRule="exact"/>
        <w:rPr>
          <w:rFonts w:ascii="Times New Roman" w:eastAsia="黑体" w:hAnsi="Times New Roman" w:cs="黑体"/>
          <w:color w:val="222222"/>
          <w:sz w:val="32"/>
          <w:szCs w:val="32"/>
        </w:rPr>
      </w:pPr>
      <w:r>
        <w:rPr>
          <w:rFonts w:ascii="Times New Roman" w:eastAsia="黑体" w:hAnsi="Times New Roman" w:cs="黑体" w:hint="eastAsia"/>
          <w:color w:val="222222"/>
          <w:sz w:val="32"/>
          <w:szCs w:val="32"/>
        </w:rPr>
        <w:t xml:space="preserve">    </w:t>
      </w:r>
      <w:r>
        <w:rPr>
          <w:rFonts w:ascii="Times New Roman" w:eastAsia="黑体" w:hAnsi="Times New Roman" w:cs="黑体" w:hint="eastAsia"/>
          <w:color w:val="222222"/>
          <w:sz w:val="32"/>
          <w:szCs w:val="32"/>
        </w:rPr>
        <w:t>八、有关建议</w:t>
      </w:r>
    </w:p>
    <w:p w:rsidR="00C3050B" w:rsidRDefault="00644568">
      <w:pPr>
        <w:pStyle w:val="a5"/>
        <w:spacing w:before="0" w:beforeAutospacing="0" w:after="0" w:afterAutospacing="0" w:line="560" w:lineRule="exact"/>
        <w:rPr>
          <w:rFonts w:ascii="仿宋_GB2312" w:eastAsia="仿宋_GB2312" w:hAnsi="仿宋" w:cs="仿宋"/>
          <w:color w:val="222222"/>
          <w:sz w:val="32"/>
          <w:szCs w:val="32"/>
        </w:rPr>
      </w:pPr>
      <w:r>
        <w:rPr>
          <w:rFonts w:ascii="仿宋_GB2312" w:eastAsia="仿宋_GB2312" w:hAnsi="仿宋" w:cs="仿宋" w:hint="eastAsia"/>
          <w:color w:val="222222"/>
          <w:sz w:val="32"/>
          <w:szCs w:val="32"/>
        </w:rPr>
        <w:t xml:space="preserve">    </w:t>
      </w:r>
      <w:r w:rsidR="0006214D">
        <w:rPr>
          <w:rFonts w:ascii="仿宋_GB2312" w:eastAsia="仿宋_GB2312" w:hAnsi="仿宋" w:cs="仿宋" w:hint="eastAsia"/>
          <w:color w:val="222222"/>
          <w:sz w:val="32"/>
          <w:szCs w:val="32"/>
        </w:rPr>
        <w:t>单位扶贫、创建等中心工作太多，请财政部门安排预算时适当增加公用经费。</w:t>
      </w:r>
    </w:p>
    <w:p w:rsidR="00C3050B" w:rsidRDefault="0006214D">
      <w:pPr>
        <w:widowControl/>
        <w:jc w:val="left"/>
        <w:rPr>
          <w:rFonts w:ascii="Times New Roman" w:eastAsia="黑体" w:hAnsi="Times New Roman" w:cs="黑体"/>
          <w:color w:val="000000"/>
          <w:sz w:val="32"/>
          <w:szCs w:val="32"/>
        </w:rPr>
      </w:pPr>
      <w:r>
        <w:rPr>
          <w:rFonts w:ascii="仿宋_GB2312" w:eastAsia="仿宋_GB2312" w:hAnsi="仿宋" w:cs="仿宋"/>
          <w:color w:val="222222"/>
          <w:kern w:val="0"/>
          <w:sz w:val="32"/>
          <w:szCs w:val="32"/>
        </w:rPr>
        <w:br w:type="page"/>
      </w:r>
    </w:p>
    <w:p w:rsidR="00C3050B" w:rsidRDefault="00C3050B">
      <w:pPr>
        <w:widowControl/>
        <w:spacing w:line="560" w:lineRule="exact"/>
        <w:jc w:val="center"/>
        <w:rPr>
          <w:rFonts w:ascii="Times New Roman" w:eastAsia="黑体" w:hAnsi="Times New Roman" w:cs="黑体"/>
          <w:color w:val="000000"/>
          <w:sz w:val="32"/>
          <w:szCs w:val="32"/>
        </w:rPr>
      </w:pPr>
    </w:p>
    <w:p w:rsidR="00C3050B" w:rsidRDefault="0006214D">
      <w:pPr>
        <w:widowControl/>
        <w:spacing w:line="560" w:lineRule="exact"/>
        <w:jc w:val="center"/>
        <w:rPr>
          <w:rFonts w:ascii="Times New Roman" w:eastAsia="方正小标宋_GBK" w:hAnsi="Times New Roman"/>
          <w:kern w:val="0"/>
          <w:sz w:val="36"/>
          <w:szCs w:val="36"/>
        </w:rPr>
      </w:pPr>
      <w:r>
        <w:rPr>
          <w:rFonts w:ascii="Times New Roman" w:eastAsia="方正小标宋_GBK" w:hAnsi="Times New Roman" w:cs="方正小标宋_GBK" w:hint="eastAsia"/>
          <w:kern w:val="0"/>
          <w:sz w:val="36"/>
          <w:szCs w:val="36"/>
        </w:rPr>
        <w:t>部门整体支出绩效评价指标表</w:t>
      </w:r>
    </w:p>
    <w:tbl>
      <w:tblPr>
        <w:tblW w:w="10771" w:type="dxa"/>
        <w:jc w:val="center"/>
        <w:tblLook w:val="04A0"/>
      </w:tblPr>
      <w:tblGrid>
        <w:gridCol w:w="678"/>
        <w:gridCol w:w="516"/>
        <w:gridCol w:w="659"/>
        <w:gridCol w:w="516"/>
        <w:gridCol w:w="1074"/>
        <w:gridCol w:w="516"/>
        <w:gridCol w:w="2878"/>
        <w:gridCol w:w="3312"/>
        <w:gridCol w:w="622"/>
      </w:tblGrid>
      <w:tr w:rsidR="00C3050B">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三级</w:t>
            </w:r>
          </w:p>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得分</w:t>
            </w:r>
          </w:p>
        </w:tc>
      </w:tr>
      <w:tr w:rsidR="00C3050B">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C3050B">
        <w:trPr>
          <w:jc w:val="center"/>
        </w:trPr>
        <w:tc>
          <w:tcPr>
            <w:tcW w:w="678" w:type="dxa"/>
            <w:vMerge/>
            <w:tcBorders>
              <w:top w:val="nil"/>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C3050B">
        <w:trPr>
          <w:jc w:val="center"/>
        </w:trPr>
        <w:tc>
          <w:tcPr>
            <w:tcW w:w="678"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C3050B">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C3050B">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C3050B">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C3050B">
        <w:trPr>
          <w:trHeight w:val="1562"/>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C3050B">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C3050B">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C3050B">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C3050B" w:rsidRDefault="0006214D">
            <w:pPr>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C3050B" w:rsidRDefault="0006214D">
            <w:pPr>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lastRenderedPageBreak/>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 xml:space="preserve">　</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C3050B">
        <w:trPr>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C3050B">
        <w:trPr>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w:t>
            </w:r>
            <w:r>
              <w:rPr>
                <w:rFonts w:ascii="Times New Roman" w:eastAsia="仿宋_GB2312" w:hAnsi="Times New Roman" w:cs="仿宋_GB2312" w:hint="eastAsia"/>
                <w:kern w:val="0"/>
                <w:sz w:val="20"/>
                <w:szCs w:val="20"/>
              </w:rPr>
              <w:lastRenderedPageBreak/>
              <w:t>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C3050B">
        <w:trPr>
          <w:jc w:val="center"/>
        </w:trPr>
        <w:tc>
          <w:tcPr>
            <w:tcW w:w="678"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C3050B">
        <w:trPr>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p>
        </w:tc>
      </w:tr>
      <w:tr w:rsidR="00C3050B">
        <w:trPr>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C3050B">
        <w:trPr>
          <w:jc w:val="center"/>
        </w:trPr>
        <w:tc>
          <w:tcPr>
            <w:tcW w:w="678"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C3050B">
        <w:trPr>
          <w:jc w:val="center"/>
        </w:trPr>
        <w:tc>
          <w:tcPr>
            <w:tcW w:w="678" w:type="dxa"/>
            <w:vMerge/>
            <w:tcBorders>
              <w:top w:val="nil"/>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C3050B">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97</w:t>
            </w:r>
          </w:p>
        </w:tc>
      </w:tr>
    </w:tbl>
    <w:p w:rsidR="00C3050B" w:rsidRDefault="0006214D">
      <w:pPr>
        <w:spacing w:line="560" w:lineRule="exact"/>
        <w:jc w:val="center"/>
        <w:rPr>
          <w:rFonts w:ascii="Times New Roman" w:eastAsia="黑体" w:hAnsi="Times New Roman"/>
          <w:kern w:val="0"/>
          <w:sz w:val="32"/>
          <w:szCs w:val="32"/>
        </w:rPr>
      </w:pPr>
      <w:r>
        <w:rPr>
          <w:rFonts w:ascii="Times New Roman" w:eastAsia="黑体" w:hAnsi="Times New Roman"/>
          <w:sz w:val="28"/>
          <w:szCs w:val="28"/>
        </w:rPr>
        <w:br w:type="page"/>
      </w:r>
      <w:r>
        <w:rPr>
          <w:rFonts w:ascii="Times New Roman" w:eastAsia="方正小标宋_GBK" w:hAnsi="Times New Roman" w:cs="方正小标宋_GBK" w:hint="eastAsia"/>
          <w:kern w:val="0"/>
          <w:sz w:val="36"/>
          <w:szCs w:val="36"/>
        </w:rPr>
        <w:lastRenderedPageBreak/>
        <w:t>部门整体支出绩效评价基础数据表</w:t>
      </w:r>
    </w:p>
    <w:p w:rsidR="00C3050B" w:rsidRDefault="0006214D">
      <w:pPr>
        <w:widowControl/>
        <w:tabs>
          <w:tab w:val="left" w:pos="3611"/>
          <w:tab w:val="left" w:pos="4791"/>
          <w:tab w:val="left" w:pos="5951"/>
          <w:tab w:val="left" w:pos="7071"/>
          <w:tab w:val="left" w:pos="8191"/>
          <w:tab w:val="left" w:pos="9311"/>
        </w:tabs>
        <w:spacing w:line="560" w:lineRule="exact"/>
        <w:ind w:left="91"/>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填报单位：桃源县人大常委会办公室</w:t>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p>
    <w:tbl>
      <w:tblPr>
        <w:tblW w:w="10339" w:type="dxa"/>
        <w:jc w:val="center"/>
        <w:tblLook w:val="04A0"/>
      </w:tblPr>
      <w:tblGrid>
        <w:gridCol w:w="3550"/>
        <w:gridCol w:w="1190"/>
        <w:gridCol w:w="1170"/>
        <w:gridCol w:w="1130"/>
        <w:gridCol w:w="1465"/>
        <w:gridCol w:w="970"/>
        <w:gridCol w:w="864"/>
      </w:tblGrid>
      <w:tr w:rsidR="00C3050B">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w:t>
            </w:r>
            <w:r>
              <w:rPr>
                <w:rFonts w:ascii="Times New Roman" w:eastAsia="仿宋_GB2312" w:hAnsi="Times New Roman" w:cs="Times New Roman" w:hint="eastAsia"/>
                <w:b/>
                <w:bCs/>
                <w:kern w:val="0"/>
                <w:sz w:val="24"/>
                <w:szCs w:val="24"/>
              </w:rPr>
              <w:t>8</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控制率</w:t>
            </w:r>
          </w:p>
        </w:tc>
      </w:tr>
      <w:tr w:rsidR="00C3050B">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39</w:t>
            </w:r>
          </w:p>
        </w:tc>
        <w:tc>
          <w:tcPr>
            <w:tcW w:w="2595" w:type="dxa"/>
            <w:gridSpan w:val="2"/>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38</w:t>
            </w:r>
          </w:p>
        </w:tc>
        <w:tc>
          <w:tcPr>
            <w:tcW w:w="1834" w:type="dxa"/>
            <w:gridSpan w:val="2"/>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100%</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w:t>
            </w:r>
            <w:r>
              <w:rPr>
                <w:rFonts w:ascii="Times New Roman" w:eastAsia="仿宋_GB2312" w:hAnsi="Times New Roman" w:cs="Times New Roman" w:hint="eastAsia"/>
                <w:b/>
                <w:bCs/>
                <w:kern w:val="0"/>
                <w:sz w:val="24"/>
                <w:szCs w:val="24"/>
              </w:rPr>
              <w:t>7</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w:t>
            </w:r>
            <w:r>
              <w:rPr>
                <w:rFonts w:ascii="Times New Roman" w:eastAsia="仿宋_GB2312" w:hAnsi="Times New Roman" w:cs="Times New Roman" w:hint="eastAsia"/>
                <w:b/>
                <w:bCs/>
                <w:kern w:val="0"/>
                <w:sz w:val="24"/>
                <w:szCs w:val="24"/>
              </w:rPr>
              <w:t>8</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w:t>
            </w:r>
            <w:r>
              <w:rPr>
                <w:rFonts w:ascii="Times New Roman" w:eastAsia="仿宋_GB2312" w:hAnsi="Times New Roman" w:cs="Times New Roman" w:hint="eastAsia"/>
                <w:b/>
                <w:bCs/>
                <w:kern w:val="0"/>
                <w:sz w:val="24"/>
                <w:szCs w:val="24"/>
              </w:rPr>
              <w:t>8</w:t>
            </w:r>
            <w:r>
              <w:rPr>
                <w:rFonts w:ascii="Times New Roman" w:eastAsia="仿宋_GB2312" w:hAnsi="Times New Roman" w:cs="仿宋_GB2312" w:hint="eastAsia"/>
                <w:b/>
                <w:bCs/>
                <w:kern w:val="0"/>
                <w:sz w:val="24"/>
                <w:szCs w:val="24"/>
              </w:rPr>
              <w:t>年决算数</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99.01</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50</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49.1</w:t>
            </w:r>
          </w:p>
        </w:tc>
      </w:tr>
      <w:tr w:rsidR="00C3050B">
        <w:trPr>
          <w:trHeight w:val="39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49.01</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50</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50</w:t>
            </w:r>
            <w:r>
              <w:rPr>
                <w:rFonts w:ascii="Times New Roman" w:eastAsia="仿宋_GB2312" w:hAnsi="Times New Roman" w:cs="仿宋_GB2312" w:hint="eastAsia"/>
                <w:kern w:val="0"/>
                <w:sz w:val="24"/>
                <w:szCs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49.1</w:t>
            </w:r>
            <w:r>
              <w:rPr>
                <w:rFonts w:ascii="Times New Roman" w:eastAsia="仿宋_GB2312" w:hAnsi="Times New Roman" w:cs="仿宋_GB2312" w:hint="eastAsia"/>
                <w:kern w:val="0"/>
                <w:sz w:val="24"/>
                <w:szCs w:val="24"/>
              </w:rPr>
              <w:t>万元</w:t>
            </w:r>
          </w:p>
        </w:tc>
      </w:tr>
      <w:tr w:rsidR="00C3050B">
        <w:trPr>
          <w:trHeight w:val="39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386.23</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810</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351</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386.23</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410</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351</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Times New Roman" w:hint="eastAsia"/>
                <w:kern w:val="0"/>
                <w:sz w:val="24"/>
                <w:szCs w:val="24"/>
              </w:rPr>
              <w:t>3</w:t>
            </w:r>
            <w:r>
              <w:rPr>
                <w:rFonts w:ascii="Times New Roman" w:eastAsia="仿宋_GB2312" w:hAnsi="Times New Roman" w:cs="仿宋_GB2312" w:hint="eastAsia"/>
                <w:kern w:val="0"/>
                <w:sz w:val="24"/>
                <w:szCs w:val="24"/>
              </w:rPr>
              <w:t>、基本建设专项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400</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297.83</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291.89</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289.12</w:t>
            </w:r>
          </w:p>
        </w:tc>
      </w:tr>
      <w:tr w:rsidR="00C3050B">
        <w:trPr>
          <w:trHeight w:val="39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cs="仿宋_GB2312"/>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仿宋_GB2312" w:hint="eastAsia"/>
                <w:color w:val="FF0000"/>
                <w:kern w:val="0"/>
                <w:sz w:val="24"/>
                <w:szCs w:val="24"/>
              </w:rPr>
              <w:t>40.38</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仿宋_GB2312" w:hint="eastAsia"/>
                <w:color w:val="FF0000"/>
                <w:kern w:val="0"/>
                <w:sz w:val="24"/>
                <w:szCs w:val="24"/>
              </w:rPr>
              <w:t>42</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仿宋_GB2312" w:hint="eastAsia"/>
                <w:color w:val="FF0000"/>
                <w:kern w:val="0"/>
                <w:sz w:val="24"/>
                <w:szCs w:val="24"/>
              </w:rPr>
              <w:t>40.01</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cs="仿宋_GB2312"/>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仿宋_GB2312" w:hint="eastAsia"/>
                <w:color w:val="FF0000"/>
                <w:kern w:val="0"/>
                <w:sz w:val="24"/>
                <w:szCs w:val="24"/>
              </w:rPr>
              <w:t>8.9</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仿宋_GB2312" w:hint="eastAsia"/>
                <w:color w:val="FF0000"/>
                <w:kern w:val="0"/>
                <w:sz w:val="24"/>
                <w:szCs w:val="24"/>
              </w:rPr>
              <w:t>20</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仿宋_GB2312" w:hint="eastAsia"/>
                <w:color w:val="FF0000"/>
                <w:kern w:val="0"/>
                <w:sz w:val="24"/>
                <w:szCs w:val="24"/>
              </w:rPr>
              <w:t>19.82</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cs="仿宋_GB2312"/>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仿宋_GB2312" w:hint="eastAsia"/>
                <w:color w:val="FF0000"/>
                <w:kern w:val="0"/>
                <w:sz w:val="24"/>
                <w:szCs w:val="24"/>
              </w:rPr>
              <w:t>178</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仿宋_GB2312" w:hint="eastAsia"/>
                <w:color w:val="FF0000"/>
                <w:kern w:val="0"/>
                <w:sz w:val="24"/>
                <w:szCs w:val="24"/>
              </w:rPr>
              <w:t>195</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仿宋_GB2312" w:hint="eastAsia"/>
                <w:color w:val="FF0000"/>
                <w:kern w:val="0"/>
                <w:sz w:val="24"/>
                <w:szCs w:val="24"/>
              </w:rPr>
              <w:t>183.01</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671</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164</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C3050B">
        <w:trPr>
          <w:trHeight w:val="1154"/>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201</w:t>
            </w:r>
            <w:r>
              <w:rPr>
                <w:rFonts w:ascii="Times New Roman" w:eastAsia="仿宋_GB2312" w:hAnsi="Times New Roman" w:cs="Times New Roman" w:hint="eastAsia"/>
                <w:kern w:val="0"/>
                <w:sz w:val="24"/>
                <w:szCs w:val="24"/>
              </w:rPr>
              <w:t>8</w:t>
            </w:r>
            <w:r>
              <w:rPr>
                <w:rFonts w:ascii="Times New Roman" w:eastAsia="仿宋_GB2312" w:hAnsi="Times New Roman" w:cs="仿宋_GB2312" w:hint="eastAsia"/>
                <w:kern w:val="0"/>
                <w:sz w:val="24"/>
                <w:szCs w:val="24"/>
              </w:rPr>
              <w:t>年完工项目）</w:t>
            </w:r>
          </w:p>
        </w:tc>
        <w:tc>
          <w:tcPr>
            <w:tcW w:w="1190"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实际投资（万</w:t>
            </w:r>
            <w:r>
              <w:rPr>
                <w:rFonts w:ascii="Times New Roman" w:eastAsia="仿宋_GB2312" w:hAnsi="Times New Roman" w:cs="仿宋_GB2312" w:hint="eastAsia"/>
                <w:b/>
                <w:bCs/>
                <w:kern w:val="0"/>
                <w:sz w:val="24"/>
                <w:szCs w:val="24"/>
              </w:rPr>
              <w:lastRenderedPageBreak/>
              <w:t>元）</w:t>
            </w:r>
          </w:p>
        </w:tc>
        <w:tc>
          <w:tcPr>
            <w:tcW w:w="864" w:type="dxa"/>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lastRenderedPageBreak/>
              <w:t>投资概算</w:t>
            </w:r>
            <w:r>
              <w:rPr>
                <w:rFonts w:ascii="Times New Roman" w:eastAsia="仿宋_GB2312" w:hAnsi="Times New Roman" w:cs="仿宋_GB2312" w:hint="eastAsia"/>
                <w:b/>
                <w:bCs/>
                <w:kern w:val="0"/>
                <w:sz w:val="24"/>
                <w:szCs w:val="24"/>
              </w:rPr>
              <w:lastRenderedPageBreak/>
              <w:t>控制率</w:t>
            </w:r>
          </w:p>
        </w:tc>
      </w:tr>
      <w:tr w:rsidR="00C3050B">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C3050B" w:rsidRDefault="00C3050B">
            <w:pPr>
              <w:widowControl/>
              <w:spacing w:line="560" w:lineRule="exact"/>
              <w:jc w:val="left"/>
              <w:rPr>
                <w:rFonts w:ascii="Times New Roman" w:eastAsia="仿宋_GB2312" w:hAnsi="Times New Roman"/>
                <w:kern w:val="0"/>
                <w:sz w:val="24"/>
                <w:szCs w:val="24"/>
              </w:rPr>
            </w:pPr>
          </w:p>
        </w:tc>
        <w:tc>
          <w:tcPr>
            <w:tcW w:w="1190" w:type="dxa"/>
            <w:tcBorders>
              <w:top w:val="nil"/>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130"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465"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400</w:t>
            </w:r>
          </w:p>
        </w:tc>
        <w:tc>
          <w:tcPr>
            <w:tcW w:w="970"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864" w:type="dxa"/>
            <w:tcBorders>
              <w:top w:val="nil"/>
              <w:left w:val="nil"/>
              <w:bottom w:val="single" w:sz="4" w:space="0" w:color="auto"/>
              <w:right w:val="single" w:sz="4" w:space="0" w:color="auto"/>
            </w:tcBorders>
            <w:vAlign w:val="center"/>
          </w:tcPr>
          <w:p w:rsidR="00C3050B" w:rsidRDefault="0006214D">
            <w:pPr>
              <w:widowControl/>
              <w:spacing w:line="560" w:lineRule="exact"/>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C3050B">
        <w:trPr>
          <w:trHeight w:val="371"/>
          <w:jc w:val="center"/>
        </w:trPr>
        <w:tc>
          <w:tcPr>
            <w:tcW w:w="3550" w:type="dxa"/>
            <w:tcBorders>
              <w:top w:val="nil"/>
              <w:left w:val="single" w:sz="4" w:space="0" w:color="auto"/>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auto"/>
            </w:tcBorders>
            <w:vAlign w:val="center"/>
          </w:tcPr>
          <w:p w:rsidR="00C3050B" w:rsidRDefault="0006214D">
            <w:pPr>
              <w:widowControl/>
              <w:spacing w:line="560" w:lineRule="exact"/>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bl>
    <w:p w:rsidR="00C3050B" w:rsidRDefault="0006214D">
      <w:pPr>
        <w:widowControl/>
        <w:spacing w:line="560" w:lineRule="exact"/>
        <w:jc w:val="left"/>
        <w:rPr>
          <w:rFonts w:ascii="Times New Roman" w:hAnsi="Times New Roman" w:cs="Times New Roman"/>
        </w:rPr>
      </w:pPr>
      <w:r>
        <w:rPr>
          <w:rFonts w:ascii="Times New Roman" w:eastAsia="仿宋_GB2312" w:hAnsi="Times New Roman" w:cs="仿宋_GB2312" w:hint="eastAsia"/>
          <w:kern w:val="0"/>
          <w:sz w:val="22"/>
          <w:szCs w:val="22"/>
        </w:rPr>
        <w:t>说明：“项目支出”需要填报除专项资金和基本支出以外的所有项目情况，包括业务工作项目、运行维护项目等；“公用经费”填报基本支出中的一般商品和服务支出。</w:t>
      </w:r>
    </w:p>
    <w:p w:rsidR="00C3050B" w:rsidRDefault="00C3050B">
      <w:pPr>
        <w:widowControl/>
        <w:spacing w:line="560" w:lineRule="exact"/>
        <w:rPr>
          <w:rFonts w:ascii="Times New Roman" w:eastAsia="黑体" w:hAnsi="Times New Roman"/>
          <w:color w:val="000000"/>
          <w:sz w:val="32"/>
          <w:szCs w:val="32"/>
        </w:rPr>
      </w:pPr>
    </w:p>
    <w:sectPr w:rsidR="00C3050B" w:rsidSect="00C3050B">
      <w:footerReference w:type="default" r:id="rId8"/>
      <w:pgSz w:w="11906" w:h="16838"/>
      <w:pgMar w:top="1701" w:right="1418"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06D" w:rsidRDefault="00EA406D" w:rsidP="00C3050B">
      <w:r>
        <w:separator/>
      </w:r>
    </w:p>
  </w:endnote>
  <w:endnote w:type="continuationSeparator" w:id="1">
    <w:p w:rsidR="00EA406D" w:rsidRDefault="00EA406D" w:rsidP="00C30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0B" w:rsidRDefault="00463811">
    <w:pPr>
      <w:pStyle w:val="a3"/>
      <w:jc w:val="right"/>
    </w:pPr>
    <w:r w:rsidRPr="00463811">
      <w:fldChar w:fldCharType="begin"/>
    </w:r>
    <w:r w:rsidR="0006214D">
      <w:instrText xml:space="preserve"> PAGE   \* MERGEFORMAT </w:instrText>
    </w:r>
    <w:r w:rsidRPr="00463811">
      <w:fldChar w:fldCharType="separate"/>
    </w:r>
    <w:r w:rsidR="00644568" w:rsidRPr="00644568">
      <w:rPr>
        <w:noProof/>
        <w:lang w:val="zh-CN"/>
      </w:rPr>
      <w:t>8</w:t>
    </w:r>
    <w:r>
      <w:rPr>
        <w:lang w:val="zh-CN"/>
      </w:rPr>
      <w:fldChar w:fldCharType="end"/>
    </w:r>
  </w:p>
  <w:p w:rsidR="00C3050B" w:rsidRDefault="00C305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06D" w:rsidRDefault="00EA406D" w:rsidP="00C3050B">
      <w:r>
        <w:separator/>
      </w:r>
    </w:p>
  </w:footnote>
  <w:footnote w:type="continuationSeparator" w:id="1">
    <w:p w:rsidR="00EA406D" w:rsidRDefault="00EA406D" w:rsidP="00C30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449A"/>
    <w:multiLevelType w:val="singleLevel"/>
    <w:tmpl w:val="1767449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4AB"/>
    <w:rsid w:val="0000298E"/>
    <w:rsid w:val="00002AE4"/>
    <w:rsid w:val="00010F89"/>
    <w:rsid w:val="00017EA8"/>
    <w:rsid w:val="00031747"/>
    <w:rsid w:val="0003456A"/>
    <w:rsid w:val="00037035"/>
    <w:rsid w:val="000469BA"/>
    <w:rsid w:val="000516DC"/>
    <w:rsid w:val="00053F71"/>
    <w:rsid w:val="000552F3"/>
    <w:rsid w:val="0005557A"/>
    <w:rsid w:val="00056B04"/>
    <w:rsid w:val="0006214D"/>
    <w:rsid w:val="00070B5F"/>
    <w:rsid w:val="00072AEB"/>
    <w:rsid w:val="000747B8"/>
    <w:rsid w:val="00075715"/>
    <w:rsid w:val="00081165"/>
    <w:rsid w:val="00083406"/>
    <w:rsid w:val="00085A99"/>
    <w:rsid w:val="00087EA5"/>
    <w:rsid w:val="00091B80"/>
    <w:rsid w:val="00092609"/>
    <w:rsid w:val="000A6E3A"/>
    <w:rsid w:val="000B1FC2"/>
    <w:rsid w:val="000C6802"/>
    <w:rsid w:val="000D6179"/>
    <w:rsid w:val="000E240C"/>
    <w:rsid w:val="000E35F0"/>
    <w:rsid w:val="000F21D6"/>
    <w:rsid w:val="000F61BE"/>
    <w:rsid w:val="000F73AE"/>
    <w:rsid w:val="001062E8"/>
    <w:rsid w:val="00112EB7"/>
    <w:rsid w:val="00114AFB"/>
    <w:rsid w:val="001167EB"/>
    <w:rsid w:val="001218A7"/>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A75B4"/>
    <w:rsid w:val="002B1E16"/>
    <w:rsid w:val="002B2BEF"/>
    <w:rsid w:val="002B778F"/>
    <w:rsid w:val="002C064D"/>
    <w:rsid w:val="002D6D4A"/>
    <w:rsid w:val="002E1DF4"/>
    <w:rsid w:val="002F7643"/>
    <w:rsid w:val="00303890"/>
    <w:rsid w:val="003053A5"/>
    <w:rsid w:val="0031038E"/>
    <w:rsid w:val="003134F7"/>
    <w:rsid w:val="00313CA6"/>
    <w:rsid w:val="00317437"/>
    <w:rsid w:val="00317AB2"/>
    <w:rsid w:val="00320A4B"/>
    <w:rsid w:val="00324952"/>
    <w:rsid w:val="00332598"/>
    <w:rsid w:val="003363C0"/>
    <w:rsid w:val="00341012"/>
    <w:rsid w:val="00342BE8"/>
    <w:rsid w:val="00344BD5"/>
    <w:rsid w:val="00344CA7"/>
    <w:rsid w:val="00345B18"/>
    <w:rsid w:val="00346169"/>
    <w:rsid w:val="003478B2"/>
    <w:rsid w:val="00351E0E"/>
    <w:rsid w:val="00360694"/>
    <w:rsid w:val="00362473"/>
    <w:rsid w:val="00362E31"/>
    <w:rsid w:val="003658AE"/>
    <w:rsid w:val="00372621"/>
    <w:rsid w:val="00374987"/>
    <w:rsid w:val="0038212B"/>
    <w:rsid w:val="00383377"/>
    <w:rsid w:val="00383992"/>
    <w:rsid w:val="00392B58"/>
    <w:rsid w:val="00394ABB"/>
    <w:rsid w:val="003A4ACA"/>
    <w:rsid w:val="003A7FDD"/>
    <w:rsid w:val="003B23EB"/>
    <w:rsid w:val="003B2F4F"/>
    <w:rsid w:val="003B7FA2"/>
    <w:rsid w:val="003C3086"/>
    <w:rsid w:val="003D4854"/>
    <w:rsid w:val="003E3CB2"/>
    <w:rsid w:val="003E52E4"/>
    <w:rsid w:val="00404BE5"/>
    <w:rsid w:val="00410AE1"/>
    <w:rsid w:val="00410FF6"/>
    <w:rsid w:val="00411330"/>
    <w:rsid w:val="00412456"/>
    <w:rsid w:val="00417BC1"/>
    <w:rsid w:val="0042330A"/>
    <w:rsid w:val="00427D9D"/>
    <w:rsid w:val="00431F52"/>
    <w:rsid w:val="00434B10"/>
    <w:rsid w:val="0043703A"/>
    <w:rsid w:val="00446CFB"/>
    <w:rsid w:val="004506ED"/>
    <w:rsid w:val="004507F5"/>
    <w:rsid w:val="004527DA"/>
    <w:rsid w:val="004561C6"/>
    <w:rsid w:val="004621CC"/>
    <w:rsid w:val="00463811"/>
    <w:rsid w:val="00473D54"/>
    <w:rsid w:val="00477B78"/>
    <w:rsid w:val="00481926"/>
    <w:rsid w:val="00482DA2"/>
    <w:rsid w:val="00483F92"/>
    <w:rsid w:val="004948B2"/>
    <w:rsid w:val="00496F6D"/>
    <w:rsid w:val="004A0757"/>
    <w:rsid w:val="004A4330"/>
    <w:rsid w:val="004A7DB7"/>
    <w:rsid w:val="004B09F8"/>
    <w:rsid w:val="004B2D29"/>
    <w:rsid w:val="004C28E9"/>
    <w:rsid w:val="004C2AEE"/>
    <w:rsid w:val="004D5F90"/>
    <w:rsid w:val="004E1AF5"/>
    <w:rsid w:val="004E2593"/>
    <w:rsid w:val="004E394D"/>
    <w:rsid w:val="004E6E44"/>
    <w:rsid w:val="004F4E0C"/>
    <w:rsid w:val="004F53C1"/>
    <w:rsid w:val="00505F55"/>
    <w:rsid w:val="00507BC7"/>
    <w:rsid w:val="00510B86"/>
    <w:rsid w:val="00516BBB"/>
    <w:rsid w:val="005360F3"/>
    <w:rsid w:val="00536A21"/>
    <w:rsid w:val="005377C3"/>
    <w:rsid w:val="00542882"/>
    <w:rsid w:val="005438D0"/>
    <w:rsid w:val="0054486C"/>
    <w:rsid w:val="005473E0"/>
    <w:rsid w:val="0055022D"/>
    <w:rsid w:val="005502D4"/>
    <w:rsid w:val="00550C9A"/>
    <w:rsid w:val="00553BA4"/>
    <w:rsid w:val="005732F3"/>
    <w:rsid w:val="0057789D"/>
    <w:rsid w:val="0058237D"/>
    <w:rsid w:val="00585BED"/>
    <w:rsid w:val="00587C92"/>
    <w:rsid w:val="005916AB"/>
    <w:rsid w:val="00592496"/>
    <w:rsid w:val="00593595"/>
    <w:rsid w:val="005A3424"/>
    <w:rsid w:val="005A662C"/>
    <w:rsid w:val="005A6E3C"/>
    <w:rsid w:val="005B0238"/>
    <w:rsid w:val="005B6A4F"/>
    <w:rsid w:val="005B70C2"/>
    <w:rsid w:val="005C488D"/>
    <w:rsid w:val="005C60E3"/>
    <w:rsid w:val="005C6D48"/>
    <w:rsid w:val="005C778B"/>
    <w:rsid w:val="005D5007"/>
    <w:rsid w:val="005D50CB"/>
    <w:rsid w:val="005E0ACC"/>
    <w:rsid w:val="005E0C80"/>
    <w:rsid w:val="005E63A3"/>
    <w:rsid w:val="005F1452"/>
    <w:rsid w:val="005F1576"/>
    <w:rsid w:val="005F247D"/>
    <w:rsid w:val="005F2E6C"/>
    <w:rsid w:val="005F7156"/>
    <w:rsid w:val="006024A8"/>
    <w:rsid w:val="0061181B"/>
    <w:rsid w:val="0061768E"/>
    <w:rsid w:val="00620930"/>
    <w:rsid w:val="00640E29"/>
    <w:rsid w:val="006412C9"/>
    <w:rsid w:val="00644568"/>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1982"/>
    <w:rsid w:val="006A3A89"/>
    <w:rsid w:val="006A6FDC"/>
    <w:rsid w:val="006C3E4B"/>
    <w:rsid w:val="006C5D54"/>
    <w:rsid w:val="006D0B0B"/>
    <w:rsid w:val="006D0B89"/>
    <w:rsid w:val="006E4E54"/>
    <w:rsid w:val="006E5F6D"/>
    <w:rsid w:val="006E6ABE"/>
    <w:rsid w:val="006F1419"/>
    <w:rsid w:val="00700CD4"/>
    <w:rsid w:val="00701DF4"/>
    <w:rsid w:val="00704174"/>
    <w:rsid w:val="00704536"/>
    <w:rsid w:val="0071201B"/>
    <w:rsid w:val="00717347"/>
    <w:rsid w:val="00723417"/>
    <w:rsid w:val="007349D4"/>
    <w:rsid w:val="00737891"/>
    <w:rsid w:val="00754120"/>
    <w:rsid w:val="00756B93"/>
    <w:rsid w:val="0076124E"/>
    <w:rsid w:val="007707CC"/>
    <w:rsid w:val="00770932"/>
    <w:rsid w:val="00770E13"/>
    <w:rsid w:val="0077217D"/>
    <w:rsid w:val="00784182"/>
    <w:rsid w:val="00785207"/>
    <w:rsid w:val="00786728"/>
    <w:rsid w:val="00786A9F"/>
    <w:rsid w:val="00793BCC"/>
    <w:rsid w:val="007974AB"/>
    <w:rsid w:val="007A085F"/>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2AD0"/>
    <w:rsid w:val="007F7875"/>
    <w:rsid w:val="00800AE0"/>
    <w:rsid w:val="00827E67"/>
    <w:rsid w:val="00832102"/>
    <w:rsid w:val="00833FA8"/>
    <w:rsid w:val="00834C09"/>
    <w:rsid w:val="008355CC"/>
    <w:rsid w:val="008442A9"/>
    <w:rsid w:val="0084564C"/>
    <w:rsid w:val="00851F1E"/>
    <w:rsid w:val="0085254D"/>
    <w:rsid w:val="008547F9"/>
    <w:rsid w:val="008662AB"/>
    <w:rsid w:val="00867DE4"/>
    <w:rsid w:val="00885497"/>
    <w:rsid w:val="008862A7"/>
    <w:rsid w:val="00892869"/>
    <w:rsid w:val="008B03AA"/>
    <w:rsid w:val="008B1FF5"/>
    <w:rsid w:val="008B33CC"/>
    <w:rsid w:val="008B3530"/>
    <w:rsid w:val="008D36D8"/>
    <w:rsid w:val="008D614F"/>
    <w:rsid w:val="008D7CE8"/>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2E56"/>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F1354"/>
    <w:rsid w:val="00B013E8"/>
    <w:rsid w:val="00B04987"/>
    <w:rsid w:val="00B067B2"/>
    <w:rsid w:val="00B07A1C"/>
    <w:rsid w:val="00B12151"/>
    <w:rsid w:val="00B139CB"/>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C5582"/>
    <w:rsid w:val="00BC70E4"/>
    <w:rsid w:val="00BD1277"/>
    <w:rsid w:val="00BD600A"/>
    <w:rsid w:val="00BE2E9A"/>
    <w:rsid w:val="00BF20DB"/>
    <w:rsid w:val="00BF73DD"/>
    <w:rsid w:val="00C0088E"/>
    <w:rsid w:val="00C01037"/>
    <w:rsid w:val="00C02189"/>
    <w:rsid w:val="00C04A62"/>
    <w:rsid w:val="00C3050B"/>
    <w:rsid w:val="00C30FDC"/>
    <w:rsid w:val="00C319C9"/>
    <w:rsid w:val="00C33895"/>
    <w:rsid w:val="00C3680C"/>
    <w:rsid w:val="00C44C07"/>
    <w:rsid w:val="00C4612E"/>
    <w:rsid w:val="00C54E49"/>
    <w:rsid w:val="00C573B5"/>
    <w:rsid w:val="00C60E03"/>
    <w:rsid w:val="00C62F43"/>
    <w:rsid w:val="00C63B42"/>
    <w:rsid w:val="00C63D5B"/>
    <w:rsid w:val="00C72DCE"/>
    <w:rsid w:val="00C935BF"/>
    <w:rsid w:val="00CA0A79"/>
    <w:rsid w:val="00CA163D"/>
    <w:rsid w:val="00CA33BA"/>
    <w:rsid w:val="00CB5102"/>
    <w:rsid w:val="00CB7BF5"/>
    <w:rsid w:val="00CC0774"/>
    <w:rsid w:val="00CC3862"/>
    <w:rsid w:val="00CC4ADD"/>
    <w:rsid w:val="00CD28F2"/>
    <w:rsid w:val="00CD2BBD"/>
    <w:rsid w:val="00CD35A0"/>
    <w:rsid w:val="00CE087F"/>
    <w:rsid w:val="00CE0DAB"/>
    <w:rsid w:val="00CF75DD"/>
    <w:rsid w:val="00CF7E02"/>
    <w:rsid w:val="00D05ACC"/>
    <w:rsid w:val="00D14DCC"/>
    <w:rsid w:val="00D204FD"/>
    <w:rsid w:val="00D258CC"/>
    <w:rsid w:val="00D33649"/>
    <w:rsid w:val="00D41087"/>
    <w:rsid w:val="00D4312A"/>
    <w:rsid w:val="00D4564B"/>
    <w:rsid w:val="00D464D3"/>
    <w:rsid w:val="00D52EEC"/>
    <w:rsid w:val="00D55FCF"/>
    <w:rsid w:val="00D60B6C"/>
    <w:rsid w:val="00D6107D"/>
    <w:rsid w:val="00D62E84"/>
    <w:rsid w:val="00D65095"/>
    <w:rsid w:val="00D809C7"/>
    <w:rsid w:val="00D903B2"/>
    <w:rsid w:val="00D90B0C"/>
    <w:rsid w:val="00D927CA"/>
    <w:rsid w:val="00DA1E2C"/>
    <w:rsid w:val="00DB468E"/>
    <w:rsid w:val="00DB79CE"/>
    <w:rsid w:val="00DC0FC2"/>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48A7"/>
    <w:rsid w:val="00E85548"/>
    <w:rsid w:val="00E8635F"/>
    <w:rsid w:val="00E9091A"/>
    <w:rsid w:val="00E92232"/>
    <w:rsid w:val="00E94326"/>
    <w:rsid w:val="00E94979"/>
    <w:rsid w:val="00EA01AD"/>
    <w:rsid w:val="00EA406D"/>
    <w:rsid w:val="00EA78DA"/>
    <w:rsid w:val="00EB0525"/>
    <w:rsid w:val="00EB0AF9"/>
    <w:rsid w:val="00EB20C3"/>
    <w:rsid w:val="00EC133C"/>
    <w:rsid w:val="00EC2301"/>
    <w:rsid w:val="00EC2A45"/>
    <w:rsid w:val="00EC73F5"/>
    <w:rsid w:val="00ED1785"/>
    <w:rsid w:val="00ED459B"/>
    <w:rsid w:val="00ED57CB"/>
    <w:rsid w:val="00ED7ADF"/>
    <w:rsid w:val="00F0324A"/>
    <w:rsid w:val="00F033A8"/>
    <w:rsid w:val="00F07FD8"/>
    <w:rsid w:val="00F15C5B"/>
    <w:rsid w:val="00F204D5"/>
    <w:rsid w:val="00F21B66"/>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0E0D"/>
    <w:rsid w:val="00FD1260"/>
    <w:rsid w:val="00FD4154"/>
    <w:rsid w:val="00FD47E3"/>
    <w:rsid w:val="00FE15F4"/>
    <w:rsid w:val="00FF2FCA"/>
    <w:rsid w:val="00FF5CAC"/>
    <w:rsid w:val="360D12EA"/>
    <w:rsid w:val="4A5B3841"/>
    <w:rsid w:val="64272AAC"/>
    <w:rsid w:val="659D47C0"/>
    <w:rsid w:val="75834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lsdException w:name="FollowedHyperlink" w:unhideWhenUsed="0" w:qFormat="1"/>
    <w:lsdException w:name="Strong" w:locked="1" w:semiHidden="0" w:uiPriority="0" w:unhideWhenUsed="0" w:qFormat="1"/>
    <w:lsdException w:name="Emphasis" w:semiHidden="0" w:unhideWhenUsed="0" w:qFormat="1"/>
    <w:lsdException w:name="Normal (Web)" w:semiHidden="0" w:unhideWhenUsed="0" w:qFormat="1"/>
    <w:lsdException w:name="HTML Address" w:unhideWhenUsed="0" w:qFormat="1"/>
    <w:lsdException w:name="HTML Cite" w:unhideWhenUsed="0"/>
    <w:lsdException w:name="HTML Code"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0B"/>
    <w:pPr>
      <w:widowControl w:val="0"/>
      <w:jc w:val="both"/>
    </w:pPr>
    <w:rPr>
      <w:rFonts w:ascii="Calibri" w:hAnsi="Calibri" w:cs="Calibri"/>
      <w:kern w:val="2"/>
      <w:sz w:val="21"/>
      <w:szCs w:val="21"/>
    </w:rPr>
  </w:style>
  <w:style w:type="paragraph" w:styleId="1">
    <w:name w:val="heading 1"/>
    <w:basedOn w:val="a"/>
    <w:next w:val="a"/>
    <w:link w:val="1Char"/>
    <w:uiPriority w:val="99"/>
    <w:qFormat/>
    <w:rsid w:val="00C3050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C3050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C3050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C3050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C3050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C3050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C3050B"/>
    <w:pPr>
      <w:widowControl/>
      <w:jc w:val="left"/>
    </w:pPr>
    <w:rPr>
      <w:rFonts w:ascii="宋体" w:hAnsi="宋体" w:cs="宋体"/>
      <w:kern w:val="0"/>
      <w:sz w:val="24"/>
      <w:szCs w:val="24"/>
    </w:rPr>
  </w:style>
  <w:style w:type="paragraph" w:styleId="a3">
    <w:name w:val="footer"/>
    <w:basedOn w:val="a"/>
    <w:link w:val="Char"/>
    <w:uiPriority w:val="99"/>
    <w:qFormat/>
    <w:rsid w:val="00C3050B"/>
    <w:pPr>
      <w:tabs>
        <w:tab w:val="center" w:pos="4153"/>
        <w:tab w:val="right" w:pos="8306"/>
      </w:tabs>
      <w:snapToGrid w:val="0"/>
      <w:jc w:val="left"/>
    </w:pPr>
    <w:rPr>
      <w:sz w:val="18"/>
      <w:szCs w:val="18"/>
    </w:rPr>
  </w:style>
  <w:style w:type="paragraph" w:styleId="a4">
    <w:name w:val="header"/>
    <w:basedOn w:val="a"/>
    <w:link w:val="Char0"/>
    <w:uiPriority w:val="99"/>
    <w:semiHidden/>
    <w:qFormat/>
    <w:rsid w:val="00C3050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C3050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qFormat/>
    <w:rsid w:val="00C3050B"/>
    <w:rPr>
      <w:color w:val="auto"/>
      <w:u w:val="none"/>
    </w:rPr>
  </w:style>
  <w:style w:type="character" w:styleId="a7">
    <w:name w:val="Emphasis"/>
    <w:basedOn w:val="a0"/>
    <w:uiPriority w:val="99"/>
    <w:qFormat/>
    <w:rsid w:val="00C3050B"/>
  </w:style>
  <w:style w:type="character" w:styleId="a8">
    <w:name w:val="Hyperlink"/>
    <w:basedOn w:val="a0"/>
    <w:uiPriority w:val="99"/>
    <w:semiHidden/>
    <w:rsid w:val="00C3050B"/>
    <w:rPr>
      <w:color w:val="auto"/>
      <w:u w:val="none"/>
    </w:rPr>
  </w:style>
  <w:style w:type="character" w:styleId="HTML0">
    <w:name w:val="HTML Code"/>
    <w:basedOn w:val="a0"/>
    <w:uiPriority w:val="99"/>
    <w:semiHidden/>
    <w:rsid w:val="00C3050B"/>
    <w:rPr>
      <w:rFonts w:ascii="宋体" w:eastAsia="宋体" w:hAnsi="宋体" w:cs="宋体"/>
      <w:sz w:val="24"/>
      <w:szCs w:val="24"/>
    </w:rPr>
  </w:style>
  <w:style w:type="character" w:styleId="HTML1">
    <w:name w:val="HTML Cite"/>
    <w:basedOn w:val="a0"/>
    <w:uiPriority w:val="99"/>
    <w:semiHidden/>
    <w:rsid w:val="00C3050B"/>
  </w:style>
  <w:style w:type="character" w:customStyle="1" w:styleId="1Char">
    <w:name w:val="标题 1 Char"/>
    <w:basedOn w:val="a0"/>
    <w:link w:val="1"/>
    <w:uiPriority w:val="99"/>
    <w:qFormat/>
    <w:locked/>
    <w:rsid w:val="00C3050B"/>
    <w:rPr>
      <w:rFonts w:ascii="宋体" w:eastAsia="宋体" w:hAnsi="宋体" w:cs="宋体"/>
      <w:kern w:val="36"/>
      <w:sz w:val="48"/>
      <w:szCs w:val="48"/>
    </w:rPr>
  </w:style>
  <w:style w:type="character" w:customStyle="1" w:styleId="2Char">
    <w:name w:val="标题 2 Char"/>
    <w:basedOn w:val="a0"/>
    <w:link w:val="2"/>
    <w:uiPriority w:val="99"/>
    <w:qFormat/>
    <w:locked/>
    <w:rsid w:val="00C3050B"/>
    <w:rPr>
      <w:rFonts w:ascii="宋体" w:eastAsia="宋体" w:hAnsi="宋体" w:cs="宋体"/>
      <w:kern w:val="0"/>
      <w:sz w:val="36"/>
      <w:szCs w:val="36"/>
    </w:rPr>
  </w:style>
  <w:style w:type="character" w:customStyle="1" w:styleId="3Char">
    <w:name w:val="标题 3 Char"/>
    <w:basedOn w:val="a0"/>
    <w:link w:val="3"/>
    <w:uiPriority w:val="99"/>
    <w:qFormat/>
    <w:locked/>
    <w:rsid w:val="00C3050B"/>
    <w:rPr>
      <w:rFonts w:ascii="宋体" w:eastAsia="宋体" w:hAnsi="宋体" w:cs="宋体"/>
      <w:kern w:val="0"/>
      <w:sz w:val="27"/>
      <w:szCs w:val="27"/>
    </w:rPr>
  </w:style>
  <w:style w:type="character" w:customStyle="1" w:styleId="4Char">
    <w:name w:val="标题 4 Char"/>
    <w:basedOn w:val="a0"/>
    <w:link w:val="4"/>
    <w:uiPriority w:val="99"/>
    <w:qFormat/>
    <w:locked/>
    <w:rsid w:val="00C3050B"/>
    <w:rPr>
      <w:rFonts w:ascii="宋体" w:eastAsia="宋体" w:hAnsi="宋体" w:cs="宋体"/>
      <w:kern w:val="0"/>
      <w:sz w:val="24"/>
      <w:szCs w:val="24"/>
    </w:rPr>
  </w:style>
  <w:style w:type="character" w:customStyle="1" w:styleId="5Char">
    <w:name w:val="标题 5 Char"/>
    <w:basedOn w:val="a0"/>
    <w:link w:val="5"/>
    <w:uiPriority w:val="99"/>
    <w:locked/>
    <w:rsid w:val="00C3050B"/>
    <w:rPr>
      <w:rFonts w:ascii="宋体" w:eastAsia="宋体" w:hAnsi="宋体" w:cs="宋体"/>
      <w:kern w:val="0"/>
      <w:sz w:val="20"/>
      <w:szCs w:val="20"/>
    </w:rPr>
  </w:style>
  <w:style w:type="character" w:customStyle="1" w:styleId="6Char">
    <w:name w:val="标题 6 Char"/>
    <w:basedOn w:val="a0"/>
    <w:link w:val="6"/>
    <w:uiPriority w:val="99"/>
    <w:locked/>
    <w:rsid w:val="00C3050B"/>
    <w:rPr>
      <w:rFonts w:ascii="宋体" w:eastAsia="宋体" w:hAnsi="宋体" w:cs="宋体"/>
      <w:kern w:val="0"/>
      <w:sz w:val="15"/>
      <w:szCs w:val="15"/>
    </w:rPr>
  </w:style>
  <w:style w:type="character" w:customStyle="1" w:styleId="HTMLChar">
    <w:name w:val="HTML 地址 Char"/>
    <w:basedOn w:val="a0"/>
    <w:link w:val="HTML"/>
    <w:uiPriority w:val="99"/>
    <w:semiHidden/>
    <w:locked/>
    <w:rsid w:val="00C3050B"/>
    <w:rPr>
      <w:rFonts w:ascii="宋体" w:eastAsia="宋体" w:hAnsi="宋体" w:cs="宋体"/>
      <w:kern w:val="0"/>
      <w:sz w:val="24"/>
      <w:szCs w:val="24"/>
    </w:rPr>
  </w:style>
  <w:style w:type="paragraph" w:customStyle="1" w:styleId="fb">
    <w:name w:val="fb"/>
    <w:basedOn w:val="a"/>
    <w:uiPriority w:val="99"/>
    <w:qFormat/>
    <w:rsid w:val="00C3050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C3050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C3050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C3050B"/>
    <w:pPr>
      <w:widowControl/>
      <w:spacing w:before="100" w:beforeAutospacing="1" w:after="100" w:afterAutospacing="1"/>
      <w:jc w:val="left"/>
    </w:pPr>
    <w:rPr>
      <w:rFonts w:ascii="宋体" w:hAnsi="宋体" w:cs="宋体"/>
      <w:kern w:val="0"/>
    </w:rPr>
  </w:style>
  <w:style w:type="paragraph" w:customStyle="1" w:styleId="line">
    <w:name w:val="line"/>
    <w:basedOn w:val="a"/>
    <w:uiPriority w:val="99"/>
    <w:rsid w:val="00C3050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qFormat/>
    <w:rsid w:val="00C3050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C3050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C3050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rsid w:val="00C3050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C3050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qFormat/>
    <w:rsid w:val="00C3050B"/>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rsid w:val="00C3050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qFormat/>
    <w:rsid w:val="00C3050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qFormat/>
    <w:rsid w:val="00C3050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qFormat/>
    <w:rsid w:val="00C3050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qFormat/>
    <w:rsid w:val="00C3050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qFormat/>
    <w:rsid w:val="00C3050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qFormat/>
    <w:rsid w:val="00C3050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qFormat/>
    <w:rsid w:val="00C3050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qFormat/>
    <w:rsid w:val="00C3050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qFormat/>
    <w:rsid w:val="00C3050B"/>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a"/>
    <w:uiPriority w:val="99"/>
    <w:qFormat/>
    <w:rsid w:val="00C3050B"/>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qFormat/>
    <w:rsid w:val="00C3050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qFormat/>
    <w:rsid w:val="00C3050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qFormat/>
    <w:rsid w:val="00C3050B"/>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a"/>
    <w:uiPriority w:val="99"/>
    <w:qFormat/>
    <w:rsid w:val="00C3050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qFormat/>
    <w:rsid w:val="00C3050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qFormat/>
    <w:rsid w:val="00C3050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qFormat/>
    <w:rsid w:val="00C3050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qFormat/>
    <w:rsid w:val="00C3050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qFormat/>
    <w:rsid w:val="00C3050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qFormat/>
    <w:rsid w:val="00C3050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qFormat/>
    <w:rsid w:val="00C3050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qFormat/>
    <w:rsid w:val="00C3050B"/>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a"/>
    <w:uiPriority w:val="99"/>
    <w:qFormat/>
    <w:rsid w:val="00C3050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qFormat/>
    <w:rsid w:val="00C3050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qFormat/>
    <w:rsid w:val="00C3050B"/>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a"/>
    <w:uiPriority w:val="99"/>
    <w:qFormat/>
    <w:rsid w:val="00C3050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qFormat/>
    <w:rsid w:val="00C3050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qFormat/>
    <w:rsid w:val="00C3050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qFormat/>
    <w:rsid w:val="00C3050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qFormat/>
    <w:rsid w:val="00C3050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qFormat/>
    <w:rsid w:val="00C3050B"/>
  </w:style>
  <w:style w:type="paragraph" w:customStyle="1" w:styleId="navmenu1">
    <w:name w:val="navmenu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qFormat/>
    <w:rsid w:val="00C3050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qFormat/>
    <w:rsid w:val="00C3050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C3050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qFormat/>
    <w:rsid w:val="00C3050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qFormat/>
    <w:rsid w:val="00C3050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qFormat/>
    <w:rsid w:val="00C3050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qFormat/>
    <w:rsid w:val="00C3050B"/>
    <w:pPr>
      <w:widowControl/>
      <w:jc w:val="left"/>
    </w:pPr>
    <w:rPr>
      <w:rFonts w:ascii="宋体" w:hAnsi="宋体" w:cs="宋体"/>
      <w:kern w:val="0"/>
      <w:sz w:val="24"/>
      <w:szCs w:val="24"/>
    </w:rPr>
  </w:style>
  <w:style w:type="paragraph" w:customStyle="1" w:styleId="smooth-box1">
    <w:name w:val="smooth-box1"/>
    <w:basedOn w:val="a"/>
    <w:uiPriority w:val="99"/>
    <w:qFormat/>
    <w:rsid w:val="00C3050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qFormat/>
    <w:rsid w:val="00C3050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qFormat/>
    <w:rsid w:val="00C3050B"/>
    <w:rPr>
      <w:shd w:val="clear" w:color="auto" w:fill="auto"/>
    </w:rPr>
  </w:style>
  <w:style w:type="paragraph" w:customStyle="1" w:styleId="tipscontrol-btn1">
    <w:name w:val="tipscontrol-btn1"/>
    <w:basedOn w:val="a"/>
    <w:uiPriority w:val="99"/>
    <w:qFormat/>
    <w:rsid w:val="00C3050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qFormat/>
    <w:rsid w:val="00C3050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C3050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locked/>
    <w:rsid w:val="00C3050B"/>
    <w:rPr>
      <w:sz w:val="18"/>
      <w:szCs w:val="18"/>
    </w:rPr>
  </w:style>
  <w:style w:type="character" w:customStyle="1" w:styleId="Char">
    <w:name w:val="页脚 Char"/>
    <w:basedOn w:val="a0"/>
    <w:link w:val="a3"/>
    <w:uiPriority w:val="99"/>
    <w:qFormat/>
    <w:locked/>
    <w:rsid w:val="00C3050B"/>
    <w:rPr>
      <w:sz w:val="18"/>
      <w:szCs w:val="18"/>
    </w:rPr>
  </w:style>
  <w:style w:type="paragraph" w:styleId="a9">
    <w:name w:val="List Paragraph"/>
    <w:basedOn w:val="a"/>
    <w:uiPriority w:val="99"/>
    <w:qFormat/>
    <w:rsid w:val="00C3050B"/>
    <w:pPr>
      <w:ind w:firstLineChars="200" w:firstLine="420"/>
    </w:pPr>
  </w:style>
  <w:style w:type="paragraph" w:customStyle="1" w:styleId="reader-word-layer">
    <w:name w:val="reader-word-layer"/>
    <w:basedOn w:val="a"/>
    <w:uiPriority w:val="99"/>
    <w:qFormat/>
    <w:rsid w:val="00C3050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admin</cp:lastModifiedBy>
  <cp:revision>6</cp:revision>
  <cp:lastPrinted>2019-11-15T07:26:00Z</cp:lastPrinted>
  <dcterms:created xsi:type="dcterms:W3CDTF">2019-11-15T09:01:00Z</dcterms:created>
  <dcterms:modified xsi:type="dcterms:W3CDTF">2019-11-19T07:23:00Z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