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201</w:t>
      </w:r>
      <w:r>
        <w:rPr>
          <w:rFonts w:hint="default" w:ascii="Times New Roman" w:hAnsi="Times New Roman" w:eastAsia="方正小标宋_GBK" w:cs="Times New Roman"/>
          <w:kern w:val="0"/>
          <w:sz w:val="44"/>
          <w:szCs w:val="44"/>
          <w:lang w:val="en-US" w:eastAsia="zh-CN"/>
        </w:rPr>
        <w:t>9</w:t>
      </w:r>
      <w:r>
        <w:rPr>
          <w:rFonts w:hint="default" w:ascii="Times New Roman" w:hAnsi="Times New Roman" w:eastAsia="方正小标宋_GBK" w:cs="Times New Roman"/>
          <w:kern w:val="0"/>
          <w:sz w:val="44"/>
          <w:szCs w:val="44"/>
        </w:rPr>
        <w:t>年度</w:t>
      </w:r>
      <w:r>
        <w:rPr>
          <w:rFonts w:hint="eastAsia" w:ascii="Times New Roman" w:hAnsi="Times New Roman" w:eastAsia="方正小标宋_GBK" w:cs="Times New Roman"/>
          <w:kern w:val="0"/>
          <w:sz w:val="44"/>
          <w:szCs w:val="44"/>
          <w:lang w:eastAsia="zh-CN"/>
        </w:rPr>
        <w:t>桃源县扶贫办</w:t>
      </w:r>
      <w:r>
        <w:rPr>
          <w:rFonts w:hint="default" w:ascii="Times New Roman" w:hAnsi="Times New Roman" w:eastAsia="方正小标宋_GBK" w:cs="Times New Roman"/>
          <w:kern w:val="0"/>
          <w:sz w:val="44"/>
          <w:szCs w:val="44"/>
        </w:rPr>
        <w:t>部门整体支出绩效</w:t>
      </w:r>
      <w:r>
        <w:rPr>
          <w:rFonts w:hint="eastAsia" w:ascii="Times New Roman" w:hAnsi="Times New Roman" w:eastAsia="方正小标宋_GBK" w:cs="Times New Roman"/>
          <w:kern w:val="0"/>
          <w:sz w:val="44"/>
          <w:szCs w:val="44"/>
          <w:lang w:val="en-US" w:eastAsia="zh-CN"/>
        </w:rPr>
        <w:t>自评</w:t>
      </w:r>
      <w:r>
        <w:rPr>
          <w:rFonts w:hint="default" w:ascii="Times New Roman" w:hAnsi="Times New Roman" w:eastAsia="方正小标宋_GBK" w:cs="Times New Roman"/>
          <w:kern w:val="0"/>
          <w:sz w:val="44"/>
          <w:szCs w:val="44"/>
        </w:rPr>
        <w:t>报告</w:t>
      </w:r>
    </w:p>
    <w:p>
      <w:pPr>
        <w:widowControl/>
        <w:spacing w:line="560" w:lineRule="exact"/>
        <w:ind w:firstLine="640"/>
        <w:rPr>
          <w:rFonts w:hint="default" w:ascii="Times New Roman" w:hAnsi="Times New Roman" w:eastAsia="仿宋_GB2312" w:cs="Times New Roman"/>
          <w:color w:val="222222"/>
          <w:kern w:val="0"/>
          <w:sz w:val="32"/>
          <w:szCs w:val="32"/>
        </w:rPr>
      </w:pPr>
    </w:p>
    <w:p>
      <w:pPr>
        <w:widowControl/>
        <w:spacing w:line="560" w:lineRule="exact"/>
        <w:ind w:firstLine="640"/>
        <w:rPr>
          <w:rFonts w:hint="default" w:ascii="Times New Roman" w:hAnsi="Times New Roman" w:eastAsia="仿宋_GB2312" w:cs="Times New Roman"/>
          <w:color w:val="222222"/>
          <w:kern w:val="0"/>
          <w:sz w:val="32"/>
          <w:szCs w:val="32"/>
        </w:rPr>
      </w:pP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一、部门概况</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（一）机构、人员构成</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color w:val="3D3D3D"/>
          <w:sz w:val="32"/>
          <w:szCs w:val="32"/>
        </w:rPr>
      </w:pPr>
      <w:r>
        <w:rPr>
          <w:rFonts w:hint="eastAsia" w:ascii="仿宋_GB2312" w:eastAsia="仿宋_GB2312"/>
          <w:color w:val="3D3D3D"/>
          <w:sz w:val="32"/>
          <w:szCs w:val="32"/>
          <w:lang w:eastAsia="zh-CN"/>
        </w:rPr>
        <w:t>桃源县扶贫开发办公室</w:t>
      </w:r>
      <w:r>
        <w:rPr>
          <w:rFonts w:hint="eastAsia" w:ascii="仿宋_GB2312" w:hAnsi="宋体" w:eastAsia="仿宋_GB2312"/>
          <w:color w:val="3D3D3D"/>
          <w:sz w:val="32"/>
          <w:szCs w:val="32"/>
        </w:rPr>
        <w:t>，下设办公室</w:t>
      </w:r>
      <w:r>
        <w:rPr>
          <w:rFonts w:hint="eastAsia" w:ascii="仿宋_GB2312" w:hAnsi="宋体" w:eastAsia="仿宋_GB2312"/>
          <w:color w:val="3D3D3D"/>
          <w:sz w:val="32"/>
          <w:szCs w:val="32"/>
          <w:lang w:val="en-US" w:eastAsia="zh-CN"/>
        </w:rPr>
        <w:t>3个，分别为综合股，规划财务股，监测股</w:t>
      </w:r>
      <w:r>
        <w:rPr>
          <w:rFonts w:hint="eastAsia" w:ascii="仿宋_GB2312" w:hAnsi="宋体" w:eastAsia="仿宋_GB2312"/>
          <w:color w:val="3D3D3D"/>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宋体" w:eastAsia="仿宋_GB2312"/>
          <w:color w:val="3D3D3D"/>
          <w:sz w:val="32"/>
          <w:szCs w:val="32"/>
        </w:rPr>
      </w:pPr>
      <w:r>
        <w:rPr>
          <w:rFonts w:hint="default" w:ascii="仿宋_GB2312" w:hAnsi="宋体" w:eastAsia="仿宋_GB2312"/>
          <w:color w:val="3D3D3D"/>
          <w:sz w:val="32"/>
          <w:szCs w:val="32"/>
        </w:rPr>
        <w:t>本单位共有行政编9人，实际在岗</w:t>
      </w:r>
      <w:r>
        <w:rPr>
          <w:rFonts w:hint="eastAsia" w:ascii="仿宋_GB2312" w:eastAsia="仿宋_GB2312"/>
          <w:color w:val="3D3D3D"/>
          <w:sz w:val="32"/>
          <w:szCs w:val="32"/>
          <w:lang w:val="en-US" w:eastAsia="zh-CN"/>
        </w:rPr>
        <w:t>7</w:t>
      </w:r>
      <w:r>
        <w:rPr>
          <w:rFonts w:hint="default" w:ascii="仿宋_GB2312" w:hAnsi="宋体" w:eastAsia="仿宋_GB2312"/>
          <w:color w:val="3D3D3D"/>
          <w:sz w:val="32"/>
          <w:szCs w:val="32"/>
        </w:rPr>
        <w:t>人，事业编15人，实际在岗13人。</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（二）单位主要职责</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1</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贯彻执行中央和省、市的扶贫工作方针、政策；拟订全县扶贫工作政策和扶贫开发战略规划，并组织实施。</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2</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组织协调审定扶贫项目，管理信贷扶贫、异地开发移民扶贫、世行贷款扶贫、科技扶贫，重点村，安居温饱村建设和水电路基础设施等扶贫开发建设项目。</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3</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组织协调搞好武陵山片区区域发展与扶贫攻坚的项目申报和实施。</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4</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组织县级机关、单位，民主党派、社会团体，开展挂钩帮带扶贫，帮助欠发达乡村进行开发性的生产建设。</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5</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协调组织文教部门和农科部门加强智力扶贫，科技扶贫，加强科技培训，提高劳动者素质，促进贫困乡村的科技进步。</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6</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深入基层调查研究，指导帮助贫困乡(镇)、重点扶持村，选准扶贫开发项目，因地制宜确定发展经济的路子，制定扶贫规划和实施方案。</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7</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指导帮助贫困乡村，以市场为导向，以科技为依托，以经济效益为中心，以资源开发为基础，积极调整产业结构，开展多种经营，增加农民收入，努力解决剩余贫困人口温饱，加快脱贫步伐。</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8</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配合民政、残联部门做好救灾扶贫，优先扶持农村有生产能力残疾人解决温饱。</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9</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认真执行国家和省、市扶贫资金管理办法，加强扶贫资金管理。管好用好扶贫资金。</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宋体" w:eastAsia="仿宋_GB2312"/>
          <w:b w:val="0"/>
          <w:bCs/>
          <w:color w:val="3D3D3D"/>
          <w:sz w:val="32"/>
          <w:szCs w:val="32"/>
        </w:rPr>
      </w:pPr>
      <w:r>
        <w:rPr>
          <w:rFonts w:hint="eastAsia" w:ascii="仿宋_GB2312" w:hAnsi="宋体" w:eastAsia="仿宋_GB2312"/>
          <w:b w:val="0"/>
          <w:bCs/>
          <w:color w:val="3D3D3D"/>
          <w:sz w:val="32"/>
          <w:szCs w:val="32"/>
        </w:rPr>
        <w:t>10</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根据国家和省定扶贫标准，确定扶持范围，明确扶贫对象，落实扶贫措施，做好扶贫监测，统计、宣传、信息交流等工作。</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222222"/>
          <w:kern w:val="0"/>
          <w:sz w:val="32"/>
          <w:szCs w:val="32"/>
        </w:rPr>
      </w:pPr>
      <w:r>
        <w:rPr>
          <w:rFonts w:hint="eastAsia" w:ascii="仿宋_GB2312" w:hAnsi="宋体" w:eastAsia="仿宋_GB2312"/>
          <w:b w:val="0"/>
          <w:bCs/>
          <w:color w:val="3D3D3D"/>
          <w:sz w:val="32"/>
          <w:szCs w:val="32"/>
        </w:rPr>
        <w:t>11</w:t>
      </w:r>
      <w:r>
        <w:rPr>
          <w:rFonts w:hint="eastAsia" w:ascii="仿宋_GB2312" w:eastAsia="仿宋_GB2312"/>
          <w:b w:val="0"/>
          <w:bCs/>
          <w:color w:val="3D3D3D"/>
          <w:sz w:val="32"/>
          <w:szCs w:val="32"/>
          <w:lang w:val="en-US" w:eastAsia="zh-CN"/>
        </w:rPr>
        <w:t>.</w:t>
      </w:r>
      <w:r>
        <w:rPr>
          <w:rFonts w:hint="eastAsia" w:ascii="仿宋_GB2312" w:hAnsi="宋体" w:eastAsia="仿宋_GB2312"/>
          <w:b w:val="0"/>
          <w:bCs/>
          <w:color w:val="3D3D3D"/>
          <w:sz w:val="32"/>
          <w:szCs w:val="32"/>
        </w:rPr>
        <w:t>认真完成好县委、县政府交给的其它工作。</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二、部门财务情况</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（一）部门整体支出情况</w:t>
      </w:r>
    </w:p>
    <w:p>
      <w:pPr>
        <w:pStyle w:val="7"/>
        <w:keepNext w:val="0"/>
        <w:keepLines w:val="0"/>
        <w:pageBreakBefore w:val="0"/>
        <w:widowControl w:val="0"/>
        <w:kinsoku/>
        <w:wordWrap/>
        <w:overflowPunct/>
        <w:topLinePunct w:val="0"/>
        <w:autoSpaceDE w:val="0"/>
        <w:autoSpaceDN/>
        <w:bidi w:val="0"/>
        <w:adjustRightInd w:val="0"/>
        <w:snapToGrid/>
        <w:ind w:firstLine="640" w:firstLineChars="200"/>
        <w:textAlignment w:val="auto"/>
        <w:rPr>
          <w:rFonts w:hint="default" w:ascii="仿宋_GB2312" w:hAnsi="宋体" w:eastAsia="仿宋_GB2312" w:cs="宋体"/>
          <w:b w:val="0"/>
          <w:bCs/>
          <w:color w:val="3D3D3D"/>
          <w:kern w:val="0"/>
          <w:sz w:val="32"/>
          <w:szCs w:val="32"/>
          <w:lang w:val="en-US" w:eastAsia="zh-CN" w:bidi="ar-SA"/>
        </w:rPr>
      </w:pPr>
      <w:r>
        <w:rPr>
          <w:rFonts w:hint="default" w:ascii="仿宋_GB2312" w:hAnsi="宋体" w:eastAsia="仿宋_GB2312" w:cs="宋体"/>
          <w:b w:val="0"/>
          <w:bCs/>
          <w:color w:val="3D3D3D"/>
          <w:kern w:val="0"/>
          <w:sz w:val="32"/>
          <w:szCs w:val="32"/>
          <w:lang w:val="en-US" w:eastAsia="zh-CN" w:bidi="ar-SA"/>
        </w:rPr>
        <w:t>公共预算财政拨款基本支出</w:t>
      </w:r>
      <w:r>
        <w:rPr>
          <w:rFonts w:hint="eastAsia" w:ascii="仿宋_GB2312" w:hAnsi="宋体" w:eastAsia="仿宋_GB2312" w:cs="宋体"/>
          <w:b w:val="0"/>
          <w:bCs/>
          <w:color w:val="3D3D3D"/>
          <w:kern w:val="0"/>
          <w:sz w:val="32"/>
          <w:szCs w:val="32"/>
          <w:lang w:val="en-US" w:eastAsia="zh-CN" w:bidi="ar-SA"/>
        </w:rPr>
        <w:t>832.48</w:t>
      </w:r>
      <w:r>
        <w:rPr>
          <w:rFonts w:hint="default" w:ascii="仿宋_GB2312" w:hAnsi="宋体" w:eastAsia="仿宋_GB2312" w:cs="宋体"/>
          <w:b w:val="0"/>
          <w:bCs/>
          <w:color w:val="3D3D3D"/>
          <w:kern w:val="0"/>
          <w:sz w:val="32"/>
          <w:szCs w:val="32"/>
          <w:lang w:val="en-US" w:eastAsia="zh-CN" w:bidi="ar-SA"/>
        </w:rPr>
        <w:t>万元：其中人员经费支出</w:t>
      </w:r>
      <w:r>
        <w:rPr>
          <w:rFonts w:hint="eastAsia" w:ascii="仿宋_GB2312" w:hAnsi="宋体" w:eastAsia="仿宋_GB2312" w:cs="宋体"/>
          <w:b w:val="0"/>
          <w:bCs/>
          <w:color w:val="3D3D3D"/>
          <w:kern w:val="0"/>
          <w:sz w:val="32"/>
          <w:szCs w:val="32"/>
          <w:lang w:val="en-US" w:eastAsia="zh-CN" w:bidi="ar-SA"/>
        </w:rPr>
        <w:t>147.38</w:t>
      </w:r>
      <w:r>
        <w:rPr>
          <w:rFonts w:hint="default" w:ascii="仿宋_GB2312" w:hAnsi="宋体" w:eastAsia="仿宋_GB2312" w:cs="宋体"/>
          <w:b w:val="0"/>
          <w:bCs/>
          <w:color w:val="3D3D3D"/>
          <w:kern w:val="0"/>
          <w:sz w:val="32"/>
          <w:szCs w:val="32"/>
          <w:lang w:val="en-US" w:eastAsia="zh-CN" w:bidi="ar-SA"/>
        </w:rPr>
        <w:t>万元日常公用经费</w:t>
      </w:r>
      <w:r>
        <w:rPr>
          <w:rFonts w:hint="eastAsia" w:ascii="仿宋_GB2312" w:hAnsi="宋体" w:eastAsia="仿宋_GB2312" w:cs="宋体"/>
          <w:b w:val="0"/>
          <w:bCs/>
          <w:color w:val="3D3D3D"/>
          <w:kern w:val="0"/>
          <w:sz w:val="32"/>
          <w:szCs w:val="32"/>
          <w:lang w:val="en-US" w:eastAsia="zh-CN" w:bidi="ar-SA"/>
        </w:rPr>
        <w:t>685.1</w:t>
      </w:r>
      <w:r>
        <w:rPr>
          <w:rFonts w:hint="default" w:ascii="仿宋_GB2312" w:hAnsi="宋体" w:eastAsia="仿宋_GB2312" w:cs="宋体"/>
          <w:b w:val="0"/>
          <w:bCs/>
          <w:color w:val="3D3D3D"/>
          <w:kern w:val="0"/>
          <w:sz w:val="32"/>
          <w:szCs w:val="32"/>
          <w:lang w:val="en-US" w:eastAsia="zh-CN" w:bidi="ar-SA"/>
        </w:rPr>
        <w:t>万元。</w:t>
      </w:r>
    </w:p>
    <w:p>
      <w:pPr>
        <w:pStyle w:val="7"/>
        <w:keepNext w:val="0"/>
        <w:keepLines w:val="0"/>
        <w:pageBreakBefore w:val="0"/>
        <w:widowControl w:val="0"/>
        <w:kinsoku/>
        <w:wordWrap/>
        <w:overflowPunct/>
        <w:topLinePunct w:val="0"/>
        <w:autoSpaceDE w:val="0"/>
        <w:autoSpaceDN/>
        <w:bidi w:val="0"/>
        <w:adjustRightInd w:val="0"/>
        <w:snapToGrid/>
        <w:ind w:firstLine="620" w:firstLineChars="200"/>
        <w:textAlignment w:val="auto"/>
        <w:rPr>
          <w:rFonts w:hint="default" w:ascii="仿宋_GB2312" w:hAnsi="宋体" w:eastAsia="仿宋_GB2312" w:cs="宋体"/>
          <w:b w:val="0"/>
          <w:bCs/>
          <w:color w:val="3D3D3D"/>
          <w:kern w:val="0"/>
          <w:sz w:val="32"/>
          <w:szCs w:val="32"/>
          <w:lang w:val="en-US" w:eastAsia="zh-CN" w:bidi="ar-SA"/>
        </w:rPr>
      </w:pPr>
      <w:r>
        <w:rPr>
          <w:rFonts w:ascii="仿宋" w:hAnsi="仿宋" w:eastAsia="仿宋" w:cs="仿宋"/>
          <w:i w:val="0"/>
          <w:caps w:val="0"/>
          <w:color w:val="333333"/>
          <w:spacing w:val="0"/>
          <w:sz w:val="31"/>
          <w:szCs w:val="31"/>
          <w:shd w:val="clear" w:color="auto" w:fill="FFFFFF"/>
        </w:rPr>
        <w:t>公共预算财政拨款项目支出</w:t>
      </w:r>
      <w:r>
        <w:rPr>
          <w:rFonts w:hint="eastAsia" w:ascii="仿宋" w:hAnsi="仿宋" w:eastAsia="仿宋" w:cs="仿宋"/>
          <w:i w:val="0"/>
          <w:caps w:val="0"/>
          <w:color w:val="333333"/>
          <w:spacing w:val="0"/>
          <w:sz w:val="31"/>
          <w:szCs w:val="31"/>
          <w:shd w:val="clear" w:color="auto" w:fill="FFFFFF"/>
          <w:lang w:val="en-US" w:eastAsia="zh-CN"/>
        </w:rPr>
        <w:t>7743.78</w:t>
      </w:r>
      <w:r>
        <w:rPr>
          <w:rFonts w:ascii="仿宋" w:hAnsi="仿宋" w:eastAsia="仿宋" w:cs="仿宋"/>
          <w:i w:val="0"/>
          <w:caps w:val="0"/>
          <w:color w:val="333333"/>
          <w:spacing w:val="0"/>
          <w:sz w:val="31"/>
          <w:szCs w:val="31"/>
          <w:shd w:val="clear" w:color="auto" w:fill="FFFFFF"/>
        </w:rPr>
        <w:t>万元。</w:t>
      </w:r>
    </w:p>
    <w:p>
      <w:pPr>
        <w:widowControl/>
        <w:numPr>
          <w:ilvl w:val="0"/>
          <w:numId w:val="1"/>
        </w:numPr>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部门预算收支决算情况</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年度收支决算情况：2019年度财政拨款收入总计9306.91万元， 2019年财政拨款支出总计8576.25万元。</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收入决算。本年收入合计9205.67万元，其中，公共预算财政拨款收入9203.57万元，其他收入2.1万元。</w:t>
      </w:r>
      <w:bookmarkStart w:id="0" w:name="_GoBack"/>
      <w:bookmarkEnd w:id="0"/>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支出决算。2019年度支出决算数8578.35万元，其中，公共预算财政拨款支出8576.25万元，其他支出2.1万元。</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（三） “三公经费”支出使用和管理情况</w:t>
      </w:r>
    </w:p>
    <w:p>
      <w:pPr>
        <w:pStyle w:val="7"/>
        <w:ind w:firstLine="640" w:firstLineChars="200"/>
        <w:rPr>
          <w:rFonts w:hint="eastAsia" w:ascii="仿宋_GB2312" w:hAnsi="宋体" w:eastAsia="仿宋_GB2312" w:cs="宋体"/>
          <w:b w:val="0"/>
          <w:bCs/>
          <w:color w:val="3D3D3D"/>
          <w:kern w:val="0"/>
          <w:sz w:val="32"/>
          <w:szCs w:val="32"/>
          <w:lang w:val="en-US" w:eastAsia="zh-CN" w:bidi="ar-SA"/>
        </w:rPr>
      </w:pPr>
      <w:r>
        <w:rPr>
          <w:rFonts w:hint="eastAsia" w:ascii="仿宋_GB2312" w:hAnsi="宋体" w:eastAsia="仿宋_GB2312" w:cs="宋体"/>
          <w:b w:val="0"/>
          <w:bCs/>
          <w:color w:val="3D3D3D"/>
          <w:kern w:val="0"/>
          <w:sz w:val="32"/>
          <w:szCs w:val="32"/>
          <w:lang w:val="en-US" w:eastAsia="zh-CN" w:bidi="ar-SA"/>
        </w:rPr>
        <w:t>2019年度公共预算财政拨款“三公经费”支出5万元，本单位没有公务用车和因公出国（境）的情况。在今后的工作中将进一步强化公务接待的管理，完善公务接待制度，严格按照中央八项规定的要求，一切从简，精简节约的原则，不乱花一分钱，不违规一笔开支。</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三、部门绩效目标</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（一）部门绩效总目标</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经省扶贫办按照“一高一低一少”标准认定的66个贫困村和经市政府审批、省扶贫办确认的贫困人口</w:t>
      </w:r>
      <w:r>
        <w:rPr>
          <w:rFonts w:hint="eastAsia" w:ascii="Times New Roman" w:hAnsi="Times New Roman" w:eastAsia="仿宋" w:cs="Times New Roman"/>
          <w:color w:val="222222"/>
          <w:kern w:val="0"/>
          <w:sz w:val="32"/>
          <w:szCs w:val="32"/>
          <w:lang w:val="en-US" w:eastAsia="zh-CN"/>
        </w:rPr>
        <w:t>56883</w:t>
      </w:r>
      <w:r>
        <w:rPr>
          <w:rFonts w:hint="default" w:ascii="Times New Roman" w:hAnsi="Times New Roman" w:eastAsia="仿宋" w:cs="Times New Roman"/>
          <w:color w:val="222222"/>
          <w:kern w:val="0"/>
          <w:sz w:val="32"/>
          <w:szCs w:val="32"/>
        </w:rPr>
        <w:t>人到2020年全部退出，所有农村贫困人口全部实现脱贫。</w:t>
      </w:r>
    </w:p>
    <w:p>
      <w:pPr>
        <w:widowControl/>
        <w:spacing w:line="560" w:lineRule="exact"/>
        <w:ind w:firstLine="640"/>
        <w:rPr>
          <w:rFonts w:hint="default" w:ascii="Times New Roman" w:hAnsi="Times New Roman" w:eastAsia="仿宋" w:cs="Times New Roman"/>
          <w:color w:val="222222"/>
          <w:kern w:val="0"/>
          <w:sz w:val="32"/>
          <w:szCs w:val="32"/>
        </w:rPr>
      </w:pPr>
      <w:r>
        <w:rPr>
          <w:rFonts w:hint="default" w:ascii="Times New Roman" w:hAnsi="Times New Roman" w:eastAsia="仿宋" w:cs="Times New Roman"/>
          <w:color w:val="222222"/>
          <w:kern w:val="0"/>
          <w:sz w:val="32"/>
          <w:szCs w:val="32"/>
        </w:rPr>
        <w:t>（二）201</w:t>
      </w:r>
      <w:r>
        <w:rPr>
          <w:rFonts w:hint="default" w:ascii="Times New Roman" w:hAnsi="Times New Roman" w:eastAsia="仿宋" w:cs="Times New Roman"/>
          <w:color w:val="222222"/>
          <w:kern w:val="0"/>
          <w:sz w:val="32"/>
          <w:szCs w:val="32"/>
          <w:lang w:val="en-US" w:eastAsia="zh-CN"/>
        </w:rPr>
        <w:t>9</w:t>
      </w:r>
      <w:r>
        <w:rPr>
          <w:rFonts w:hint="default" w:ascii="Times New Roman" w:hAnsi="Times New Roman" w:eastAsia="仿宋" w:cs="Times New Roman"/>
          <w:color w:val="222222"/>
          <w:kern w:val="0"/>
          <w:sz w:val="32"/>
          <w:szCs w:val="32"/>
        </w:rPr>
        <w:t>年度部门绩效目标</w:t>
      </w:r>
    </w:p>
    <w:p>
      <w:pPr>
        <w:ind w:firstLine="63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发展扶贫产业。</w:t>
      </w:r>
      <w:r>
        <w:rPr>
          <w:rFonts w:eastAsia="仿宋_GB2312"/>
          <w:sz w:val="32"/>
          <w:szCs w:val="32"/>
        </w:rPr>
        <w:t>继续搞好金融产业扶贫工作，争取实现全县有效授信户贷款受益全覆盖，确保贫困户人均增收1000元、贫困村村均受益4万元。积极向上争取财政扶贫专项资金，支持贫困地区特色产业发展，建设特色产业扶贫基地。积极对接旅游扶贫、光伏发电扶贫、重点产业项目等方面的政策，引进社会资金投入产业扶贫项目建设，带动贫困户脱贫。</w:t>
      </w:r>
    </w:p>
    <w:p>
      <w:pPr>
        <w:ind w:firstLine="630"/>
        <w:rPr>
          <w:rFonts w:hint="eastAsia" w:eastAsia="仿宋_GB2312"/>
          <w:sz w:val="32"/>
          <w:szCs w:val="32"/>
        </w:rPr>
      </w:pPr>
      <w:r>
        <w:rPr>
          <w:rFonts w:hint="eastAsia" w:eastAsia="仿宋_GB2312"/>
          <w:sz w:val="32"/>
          <w:szCs w:val="32"/>
        </w:rPr>
        <w:t>2.</w:t>
      </w:r>
      <w:r>
        <w:rPr>
          <w:rFonts w:eastAsia="仿宋_GB2312"/>
          <w:sz w:val="32"/>
          <w:szCs w:val="32"/>
        </w:rPr>
        <w:t>加大帮扶力度。进一步充实全县扶贫力量，向贫困人口集中区域集中发力，通过</w:t>
      </w:r>
      <w:r>
        <w:rPr>
          <w:rFonts w:hint="eastAsia" w:eastAsia="仿宋_GB2312"/>
          <w:sz w:val="32"/>
          <w:szCs w:val="32"/>
        </w:rPr>
        <w:t>开展各类活动，引导</w:t>
      </w:r>
      <w:r>
        <w:rPr>
          <w:rFonts w:eastAsia="仿宋_GB2312"/>
          <w:sz w:val="32"/>
          <w:szCs w:val="32"/>
        </w:rPr>
        <w:t>全县广大帮扶干部</w:t>
      </w:r>
      <w:r>
        <w:rPr>
          <w:rFonts w:hint="eastAsia" w:eastAsia="仿宋_GB2312"/>
          <w:sz w:val="32"/>
          <w:szCs w:val="32"/>
        </w:rPr>
        <w:t>进村入户开展帮扶</w:t>
      </w:r>
      <w:r>
        <w:rPr>
          <w:rFonts w:eastAsia="仿宋_GB2312"/>
          <w:sz w:val="32"/>
          <w:szCs w:val="32"/>
        </w:rPr>
        <w:t>。同时，严格执行驻村帮扶工作管理办法，全面落实驻村帮扶工作制度，充分发挥“第一书记”工作职责，将驻村工作队打造成脱贫攻坚一线尖兵，确保贫困人口享受扶贫政策，贫困村各项基础设施和公共服务建设顺利推进。</w:t>
      </w:r>
    </w:p>
    <w:p>
      <w:pPr>
        <w:ind w:firstLine="630"/>
        <w:rPr>
          <w:rFonts w:hint="eastAsia" w:eastAsia="仿宋_GB2312"/>
          <w:sz w:val="32"/>
          <w:szCs w:val="32"/>
        </w:rPr>
      </w:pPr>
      <w:r>
        <w:rPr>
          <w:rFonts w:hint="eastAsia" w:eastAsia="仿宋_GB2312"/>
          <w:sz w:val="32"/>
          <w:szCs w:val="32"/>
        </w:rPr>
        <w:t>2.落实扶贫政策。扎实抓好教育助学、医疗救助、兜底保障及就业培训等扶贫政策的落实，确保不因贫困辍学一人，医疗救助补贴及时到位，低保对象和贫困户兜底对象应兜尽兜，贫困户应改的危房全部改造到位，自我造血功能不断提升。</w:t>
      </w:r>
    </w:p>
    <w:p>
      <w:pPr>
        <w:ind w:firstLine="630"/>
        <w:rPr>
          <w:rFonts w:eastAsia="仿宋_GB2312"/>
          <w:sz w:val="32"/>
          <w:szCs w:val="32"/>
        </w:rPr>
      </w:pPr>
      <w:r>
        <w:rPr>
          <w:rFonts w:hint="eastAsia" w:eastAsia="仿宋_GB2312"/>
          <w:sz w:val="32"/>
          <w:szCs w:val="32"/>
        </w:rPr>
        <w:t>3.</w:t>
      </w:r>
      <w:r>
        <w:rPr>
          <w:rFonts w:eastAsia="仿宋_GB2312"/>
          <w:sz w:val="32"/>
          <w:szCs w:val="32"/>
        </w:rPr>
        <w:t>整合加大投入。搞好行业部门年度规划实施项目的对接，贫困村农田水利、交通基础、电网改造、信息网络以及村级服务平台等建设优先纳入行业部门实施规划，力争</w:t>
      </w:r>
      <w:r>
        <w:rPr>
          <w:rFonts w:hint="eastAsia" w:eastAsia="仿宋_GB2312"/>
          <w:sz w:val="32"/>
          <w:szCs w:val="32"/>
          <w:lang w:val="en-US" w:eastAsia="zh-CN"/>
        </w:rPr>
        <w:t>2019</w:t>
      </w:r>
      <w:r>
        <w:rPr>
          <w:rFonts w:eastAsia="仿宋_GB2312"/>
          <w:sz w:val="32"/>
          <w:szCs w:val="32"/>
        </w:rPr>
        <w:t>年实现整合部门项目资金投入3亿元。</w:t>
      </w:r>
    </w:p>
    <w:p>
      <w:pPr>
        <w:ind w:firstLine="630"/>
        <w:rPr>
          <w:rFonts w:eastAsia="仿宋_GB2312"/>
          <w:sz w:val="32"/>
          <w:szCs w:val="32"/>
        </w:rPr>
      </w:pPr>
      <w:r>
        <w:rPr>
          <w:rFonts w:hint="eastAsia" w:eastAsia="仿宋_GB2312"/>
          <w:sz w:val="32"/>
          <w:szCs w:val="32"/>
          <w:lang w:val="en-US" w:eastAsia="zh-CN"/>
        </w:rPr>
        <w:t>4</w:t>
      </w:r>
      <w:r>
        <w:rPr>
          <w:rFonts w:hint="eastAsia" w:eastAsia="仿宋_GB2312"/>
          <w:sz w:val="32"/>
          <w:szCs w:val="32"/>
        </w:rPr>
        <w:t>.</w:t>
      </w:r>
      <w:r>
        <w:rPr>
          <w:rFonts w:eastAsia="仿宋_GB2312"/>
          <w:sz w:val="32"/>
          <w:szCs w:val="32"/>
        </w:rPr>
        <w:t>严格资金监管。在财政扶贫项目的建设上，把握好项目规划、项目实施、项目验收“三关”，严格监督各实施单位按照实施方案组织施工建设，确保项目质量和效益。在财政扶贫资金的使用管理上，严格按照财政扶贫资金的使用规定，抓好资金计划的安排，加强财政扶贫资金的检查、监督和管理。</w:t>
      </w:r>
    </w:p>
    <w:p>
      <w:pPr>
        <w:ind w:firstLine="630"/>
        <w:rPr>
          <w:rFonts w:hint="default" w:ascii="Times New Roman" w:hAnsi="Times New Roman" w:eastAsia="仿宋" w:cs="Times New Roman"/>
          <w:color w:val="222222"/>
          <w:kern w:val="0"/>
          <w:sz w:val="32"/>
          <w:szCs w:val="32"/>
        </w:rPr>
      </w:pPr>
      <w:r>
        <w:rPr>
          <w:rFonts w:hint="eastAsia" w:eastAsia="仿宋_GB2312"/>
          <w:sz w:val="32"/>
          <w:szCs w:val="32"/>
          <w:lang w:val="en-US" w:eastAsia="zh-CN"/>
        </w:rPr>
        <w:t>5</w:t>
      </w:r>
      <w:r>
        <w:rPr>
          <w:rFonts w:hint="eastAsia" w:eastAsia="仿宋_GB2312"/>
          <w:sz w:val="32"/>
          <w:szCs w:val="32"/>
        </w:rPr>
        <w:t>.加强贫困村基层组织建设。选优配强贫困村第一支部书记，承担起具体责任人和组织开展具体工作的责任，抓好班子建设、队伍建设、组织建设、制度机制建设、活动场所建设，加大力度发展新党员，真正把基层组织建设成带领群众脱贫致富的坚强战斗堡垒。</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四、绩效评价工作情况</w:t>
      </w:r>
    </w:p>
    <w:p>
      <w:pPr>
        <w:widowControl/>
        <w:ind w:firstLine="640" w:firstLineChars="200"/>
        <w:jc w:val="left"/>
        <w:rPr>
          <w:rFonts w:hint="default" w:ascii="Times New Roman" w:hAnsi="Times New Roman" w:eastAsia="黑体" w:cs="Times New Roman"/>
          <w:color w:val="222222"/>
          <w:kern w:val="0"/>
          <w:sz w:val="32"/>
          <w:szCs w:val="32"/>
        </w:rPr>
      </w:pPr>
      <w:r>
        <w:rPr>
          <w:rFonts w:hint="eastAsia" w:ascii="仿宋_GB2312" w:hAnsi="仿宋" w:eastAsia="仿宋_GB2312" w:cs="仿宋_GB2312"/>
          <w:kern w:val="0"/>
          <w:sz w:val="32"/>
          <w:szCs w:val="32"/>
        </w:rPr>
        <w:t>我单位接到财政局通知后，成立了评价小组，结合项目实际情况制定了绩效评价方案。评价实施过程中根据拟定方案，经过收集资料、问卷调查、综合分析等程序后，形成本绩效自评报告。</w:t>
      </w:r>
    </w:p>
    <w:p>
      <w:pPr>
        <w:widowControl/>
        <w:numPr>
          <w:ilvl w:val="0"/>
          <w:numId w:val="2"/>
        </w:numPr>
        <w:spacing w:line="560" w:lineRule="exac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综合评价结果</w:t>
      </w:r>
    </w:p>
    <w:p>
      <w:pPr>
        <w:ind w:firstLine="640" w:firstLineChars="200"/>
        <w:rPr>
          <w:rFonts w:hint="default" w:ascii="Times New Roman" w:hAnsi="Times New Roman" w:eastAsia="黑体" w:cs="Times New Roman"/>
          <w:color w:val="000000"/>
          <w:sz w:val="32"/>
          <w:szCs w:val="32"/>
        </w:rPr>
      </w:pPr>
      <w:r>
        <w:rPr>
          <w:rFonts w:hint="eastAsia" w:ascii="仿宋_GB2312" w:hAnsi="宋体" w:eastAsia="仿宋_GB2312"/>
          <w:sz w:val="32"/>
          <w:szCs w:val="32"/>
        </w:rPr>
        <w:t>经综合评价，201</w:t>
      </w:r>
      <w:r>
        <w:rPr>
          <w:rFonts w:hint="eastAsia" w:ascii="仿宋_GB2312" w:hAnsi="宋体" w:eastAsia="仿宋_GB2312"/>
          <w:sz w:val="32"/>
          <w:szCs w:val="32"/>
          <w:lang w:val="en-US" w:eastAsia="zh-CN"/>
        </w:rPr>
        <w:t>9</w:t>
      </w:r>
      <w:r>
        <w:rPr>
          <w:rFonts w:hint="eastAsia" w:ascii="仿宋_GB2312" w:hAnsi="宋体" w:eastAsia="仿宋_GB2312"/>
          <w:sz w:val="32"/>
          <w:szCs w:val="32"/>
        </w:rPr>
        <w:t>年度本单位部门整体支出绩效评价得分100分，评价等级为：“优”。</w:t>
      </w:r>
    </w:p>
    <w:p>
      <w:pPr>
        <w:widowControl/>
        <w:spacing w:line="560" w:lineRule="exact"/>
        <w:ind w:firstLine="640"/>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六、部门整体支出绩效情况</w:t>
      </w:r>
    </w:p>
    <w:p>
      <w:pPr>
        <w:ind w:firstLine="630"/>
        <w:rPr>
          <w:rFonts w:hint="eastAsia" w:eastAsia="仿宋_GB2312"/>
          <w:sz w:val="32"/>
          <w:szCs w:val="32"/>
        </w:rPr>
      </w:pPr>
      <w:r>
        <w:rPr>
          <w:rFonts w:hint="eastAsia" w:eastAsia="仿宋_GB2312"/>
          <w:sz w:val="32"/>
          <w:szCs w:val="32"/>
        </w:rPr>
        <w:t>1.加大资金投入。一是积极向上争资。我县共到位中央和省、市财政专项扶贫资金</w:t>
      </w:r>
      <w:r>
        <w:rPr>
          <w:rFonts w:hint="eastAsia" w:eastAsia="仿宋_GB2312"/>
          <w:sz w:val="32"/>
          <w:szCs w:val="32"/>
          <w:lang w:val="en-US" w:eastAsia="zh-CN"/>
        </w:rPr>
        <w:t>10901</w:t>
      </w:r>
      <w:r>
        <w:rPr>
          <w:rFonts w:hint="eastAsia" w:eastAsia="仿宋_GB2312"/>
          <w:sz w:val="32"/>
          <w:szCs w:val="32"/>
        </w:rPr>
        <w:t>万元，其中中央</w:t>
      </w:r>
      <w:r>
        <w:rPr>
          <w:rFonts w:hint="eastAsia" w:eastAsia="仿宋_GB2312"/>
          <w:sz w:val="32"/>
          <w:szCs w:val="32"/>
          <w:lang w:val="en-US" w:eastAsia="zh-CN"/>
        </w:rPr>
        <w:t>1475</w:t>
      </w:r>
      <w:r>
        <w:rPr>
          <w:rFonts w:hint="eastAsia" w:eastAsia="仿宋_GB2312"/>
          <w:sz w:val="32"/>
          <w:szCs w:val="32"/>
        </w:rPr>
        <w:t>万元，省财政专项扶贫资金</w:t>
      </w:r>
      <w:r>
        <w:rPr>
          <w:rFonts w:hint="eastAsia" w:eastAsia="仿宋_GB2312"/>
          <w:sz w:val="32"/>
          <w:szCs w:val="32"/>
          <w:lang w:val="en-US" w:eastAsia="zh-CN"/>
        </w:rPr>
        <w:t>5953</w:t>
      </w:r>
      <w:r>
        <w:rPr>
          <w:rFonts w:hint="eastAsia" w:eastAsia="仿宋_GB2312"/>
          <w:sz w:val="32"/>
          <w:szCs w:val="32"/>
        </w:rPr>
        <w:t>万元，市财政专项扶贫资</w:t>
      </w:r>
      <w:r>
        <w:rPr>
          <w:rFonts w:hint="eastAsia" w:eastAsia="仿宋_GB2312"/>
          <w:sz w:val="32"/>
          <w:szCs w:val="32"/>
          <w:lang w:val="en-US" w:eastAsia="zh-CN"/>
        </w:rPr>
        <w:t>591</w:t>
      </w:r>
      <w:r>
        <w:rPr>
          <w:rFonts w:hint="eastAsia" w:eastAsia="仿宋_GB2312"/>
          <w:sz w:val="32"/>
          <w:szCs w:val="32"/>
        </w:rPr>
        <w:t>万元。二是整合全县涉农资金项目。全县各部门已整合资金</w:t>
      </w:r>
      <w:r>
        <w:rPr>
          <w:rFonts w:hint="eastAsia" w:eastAsia="仿宋_GB2312"/>
          <w:sz w:val="32"/>
          <w:szCs w:val="32"/>
          <w:lang w:val="en-US" w:eastAsia="zh-CN"/>
        </w:rPr>
        <w:t>2882万</w:t>
      </w:r>
      <w:r>
        <w:rPr>
          <w:rFonts w:hint="eastAsia" w:eastAsia="仿宋_GB2312"/>
          <w:sz w:val="32"/>
          <w:szCs w:val="32"/>
        </w:rPr>
        <w:t>元投入贫困村各项建设。</w:t>
      </w:r>
    </w:p>
    <w:p>
      <w:pPr>
        <w:ind w:firstLine="630"/>
        <w:rPr>
          <w:rFonts w:hint="eastAsia" w:eastAsia="仿宋_GB2312"/>
          <w:sz w:val="32"/>
          <w:szCs w:val="32"/>
        </w:rPr>
      </w:pPr>
      <w:r>
        <w:rPr>
          <w:rFonts w:hint="eastAsia" w:eastAsia="仿宋_GB2312"/>
          <w:sz w:val="32"/>
          <w:szCs w:val="32"/>
        </w:rPr>
        <w:t>2.</w:t>
      </w:r>
      <w:r>
        <w:rPr>
          <w:rFonts w:eastAsia="仿宋_GB2312"/>
          <w:sz w:val="32"/>
          <w:szCs w:val="32"/>
        </w:rPr>
        <w:t>扎实开展帮扶。</w:t>
      </w:r>
      <w:r>
        <w:rPr>
          <w:rFonts w:hint="eastAsia" w:eastAsia="仿宋_GB2312"/>
          <w:sz w:val="32"/>
          <w:szCs w:val="32"/>
        </w:rPr>
        <w:t>一是按要求驻村。</w:t>
      </w:r>
      <w:r>
        <w:rPr>
          <w:rFonts w:eastAsia="仿宋_GB2312"/>
          <w:sz w:val="32"/>
          <w:szCs w:val="32"/>
        </w:rPr>
        <w:t>全县32名县级领导联系58个贫困村，135个县直及驻桃单位和28个乡镇（街道）共选派驻村干部522名，组成234个驻村帮扶工作队，实现了贫困村和贫困人口在100人以上非贫困村“一村一队”全覆盖。</w:t>
      </w:r>
      <w:r>
        <w:rPr>
          <w:rFonts w:hint="eastAsia" w:eastAsia="仿宋_GB2312"/>
          <w:sz w:val="32"/>
          <w:szCs w:val="32"/>
        </w:rPr>
        <w:t>二是结对帮扶全覆盖。</w:t>
      </w:r>
      <w:r>
        <w:rPr>
          <w:rFonts w:eastAsia="仿宋_GB2312"/>
          <w:sz w:val="32"/>
          <w:szCs w:val="32"/>
        </w:rPr>
        <w:t>市县乡村四级共安排干部7920名，与全县近2万个贫困户完成了结对，实现了结对帮扶全覆盖。</w:t>
      </w:r>
      <w:r>
        <w:rPr>
          <w:rFonts w:hint="eastAsia" w:eastAsia="仿宋_GB2312"/>
          <w:sz w:val="32"/>
          <w:szCs w:val="32"/>
        </w:rPr>
        <w:t>三是分类开展帮扶。为进一步提高帮扶工作质量，我县</w:t>
      </w:r>
      <w:r>
        <w:rPr>
          <w:rFonts w:eastAsia="仿宋_GB2312"/>
          <w:sz w:val="32"/>
          <w:szCs w:val="32"/>
        </w:rPr>
        <w:t>按照“户分三类、因户施策、精准帮扶”的思路</w:t>
      </w:r>
      <w:r>
        <w:rPr>
          <w:rFonts w:hint="eastAsia" w:eastAsia="仿宋_GB2312"/>
          <w:sz w:val="32"/>
          <w:szCs w:val="32"/>
        </w:rPr>
        <w:t>，要求各帮扶干部针对贫困户致贫原因分类</w:t>
      </w:r>
      <w:r>
        <w:rPr>
          <w:rFonts w:eastAsia="仿宋_GB2312"/>
          <w:sz w:val="32"/>
          <w:szCs w:val="32"/>
        </w:rPr>
        <w:t>开展结对帮扶</w:t>
      </w:r>
      <w:r>
        <w:rPr>
          <w:rFonts w:hint="eastAsia" w:eastAsia="仿宋_GB2312"/>
          <w:sz w:val="32"/>
          <w:szCs w:val="32"/>
        </w:rPr>
        <w:t>。</w:t>
      </w:r>
    </w:p>
    <w:p>
      <w:pPr>
        <w:ind w:firstLine="630"/>
        <w:rPr>
          <w:rFonts w:hint="eastAsia" w:eastAsia="仿宋_GB2312"/>
          <w:sz w:val="32"/>
          <w:szCs w:val="32"/>
        </w:rPr>
      </w:pPr>
      <w:r>
        <w:rPr>
          <w:rFonts w:hint="eastAsia" w:eastAsia="仿宋_GB2312"/>
          <w:sz w:val="32"/>
          <w:szCs w:val="32"/>
        </w:rPr>
        <w:t>3.抓好政策落实。各行业部门按照任务分工，扎实推进本部门脱贫攻坚工作，各项任务指标均可顺利完成。</w:t>
      </w:r>
    </w:p>
    <w:p>
      <w:pPr>
        <w:ind w:firstLine="630"/>
        <w:rPr>
          <w:rFonts w:hint="default" w:ascii="Times New Roman" w:hAnsi="Times New Roman" w:eastAsia="黑体" w:cs="Times New Roman"/>
          <w:color w:val="222222"/>
          <w:kern w:val="0"/>
          <w:sz w:val="32"/>
          <w:szCs w:val="32"/>
        </w:rPr>
      </w:pPr>
      <w:r>
        <w:rPr>
          <w:rFonts w:hint="eastAsia" w:eastAsia="仿宋_GB2312"/>
          <w:sz w:val="32"/>
          <w:szCs w:val="32"/>
        </w:rPr>
        <w:t>4.加强动态管理。201</w:t>
      </w:r>
      <w:r>
        <w:rPr>
          <w:rFonts w:hint="eastAsia" w:eastAsia="仿宋_GB2312"/>
          <w:sz w:val="32"/>
          <w:szCs w:val="32"/>
          <w:lang w:val="en-US" w:eastAsia="zh-CN"/>
        </w:rPr>
        <w:t>9</w:t>
      </w:r>
      <w:r>
        <w:rPr>
          <w:rFonts w:hint="eastAsia" w:eastAsia="仿宋_GB2312"/>
          <w:sz w:val="32"/>
          <w:szCs w:val="32"/>
        </w:rPr>
        <w:t>年，</w:t>
      </w:r>
      <w:r>
        <w:rPr>
          <w:rFonts w:eastAsia="仿宋_GB2312"/>
          <w:color w:val="000000"/>
          <w:sz w:val="32"/>
          <w:szCs w:val="32"/>
          <w:shd w:val="clear" w:color="auto" w:fill="FFFFFF"/>
        </w:rPr>
        <w:t>有建档立卡</w:t>
      </w:r>
      <w:r>
        <w:rPr>
          <w:rFonts w:eastAsia="仿宋_GB2312"/>
          <w:sz w:val="32"/>
          <w:szCs w:val="32"/>
        </w:rPr>
        <w:t>贫困人口19462户、56883人，其中已脱贫18204户、54299人，未脱贫1258户、2584人</w:t>
      </w:r>
      <w:r>
        <w:rPr>
          <w:rFonts w:eastAsia="仿宋_GB2312"/>
          <w:color w:val="000000"/>
          <w:sz w:val="32"/>
          <w:szCs w:val="32"/>
          <w:shd w:val="clear" w:color="auto" w:fill="FFFFFF"/>
        </w:rPr>
        <w:t>。</w:t>
      </w:r>
    </w:p>
    <w:p>
      <w:pPr>
        <w:widowControl/>
        <w:spacing w:line="560" w:lineRule="exact"/>
        <w:ind w:firstLine="640"/>
        <w:rPr>
          <w:rFonts w:hint="default" w:ascii="Times New Roman" w:hAnsi="Times New Roman" w:eastAsia="黑体" w:cs="Times New Roman"/>
          <w:color w:val="222222"/>
          <w:kern w:val="0"/>
          <w:sz w:val="32"/>
          <w:szCs w:val="32"/>
          <w:lang w:val="en-US" w:eastAsia="zh-CN"/>
        </w:rPr>
      </w:pPr>
      <w:r>
        <w:rPr>
          <w:rFonts w:hint="default" w:ascii="Times New Roman" w:hAnsi="Times New Roman" w:eastAsia="黑体" w:cs="Times New Roman"/>
          <w:color w:val="222222"/>
          <w:kern w:val="0"/>
          <w:sz w:val="32"/>
          <w:szCs w:val="32"/>
        </w:rPr>
        <w:t>七、存在的主要问题</w:t>
      </w:r>
      <w:r>
        <w:rPr>
          <w:rFonts w:hint="eastAsia" w:ascii="Times New Roman" w:hAnsi="Times New Roman" w:eastAsia="黑体" w:cs="Times New Roman"/>
          <w:color w:val="222222"/>
          <w:kern w:val="0"/>
          <w:sz w:val="32"/>
          <w:szCs w:val="32"/>
          <w:lang w:val="en-US" w:eastAsia="zh-CN"/>
        </w:rPr>
        <w:t>及原因分析</w:t>
      </w:r>
    </w:p>
    <w:p>
      <w:pPr>
        <w:ind w:firstLine="640" w:firstLineChars="200"/>
        <w:rPr>
          <w:rFonts w:hint="eastAsia" w:eastAsia="仿宋_GB2312"/>
          <w:sz w:val="32"/>
          <w:szCs w:val="32"/>
          <w:lang w:eastAsia="zh-CN"/>
        </w:rPr>
      </w:pPr>
      <w:r>
        <w:rPr>
          <w:rFonts w:hint="eastAsia" w:eastAsia="仿宋_GB2312"/>
          <w:sz w:val="32"/>
          <w:szCs w:val="32"/>
          <w:lang w:eastAsia="zh-CN"/>
        </w:rPr>
        <w:t>无</w:t>
      </w:r>
    </w:p>
    <w:p>
      <w:pPr>
        <w:widowControl/>
        <w:spacing w:line="560" w:lineRule="exact"/>
        <w:ind w:firstLine="64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八、有关建议</w:t>
      </w:r>
    </w:p>
    <w:p>
      <w:pPr>
        <w:ind w:firstLine="640" w:firstLineChars="200"/>
        <w:rPr>
          <w:rFonts w:hint="eastAsia" w:eastAsia="仿宋_GB2312"/>
          <w:sz w:val="32"/>
          <w:szCs w:val="32"/>
        </w:rPr>
      </w:pPr>
      <w:r>
        <w:rPr>
          <w:rFonts w:hint="eastAsia" w:eastAsia="仿宋_GB2312"/>
          <w:sz w:val="32"/>
          <w:szCs w:val="32"/>
        </w:rPr>
        <w:t>希望财政预算资金能按时足额到位。</w:t>
      </w: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p>
      <w:pPr>
        <w:widowControl/>
        <w:spacing w:line="560" w:lineRule="exact"/>
        <w:ind w:firstLine="640"/>
        <w:rPr>
          <w:rFonts w:hint="default" w:ascii="Times New Roman" w:hAnsi="Times New Roman" w:eastAsia="黑体" w:cs="Times New Roman"/>
          <w:color w:val="000000"/>
          <w:sz w:val="32"/>
          <w:szCs w:val="32"/>
        </w:rPr>
      </w:pPr>
    </w:p>
    <w:tbl>
      <w:tblPr>
        <w:tblStyle w:val="4"/>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一级</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指标</w:t>
            </w:r>
          </w:p>
        </w:tc>
        <w:tc>
          <w:tcPr>
            <w:tcW w:w="58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二级</w:t>
            </w:r>
            <w:r>
              <w:rPr>
                <w:rFonts w:hint="default" w:ascii="Times New Roman" w:hAnsi="Times New Roman" w:eastAsia="黑体" w:cs="Times New Roman"/>
                <w:b w:val="0"/>
                <w:bCs/>
                <w:i w:val="0"/>
                <w:color w:val="000000"/>
                <w:kern w:val="0"/>
                <w:sz w:val="24"/>
                <w:szCs w:val="24"/>
                <w:u w:val="none"/>
                <w:lang w:val="en-US" w:eastAsia="zh-CN" w:bidi="ar"/>
              </w:rPr>
              <w:br w:type="textWrapping"/>
            </w:r>
            <w:r>
              <w:rPr>
                <w:rFonts w:hint="default" w:ascii="Times New Roman" w:hAnsi="Times New Roman" w:eastAsia="黑体" w:cs="Times New Roman"/>
                <w:b w:val="0"/>
                <w:bCs/>
                <w:i w:val="0"/>
                <w:color w:val="000000"/>
                <w:kern w:val="0"/>
                <w:sz w:val="24"/>
                <w:szCs w:val="24"/>
                <w:u w:val="none"/>
                <w:lang w:val="en-US" w:eastAsia="zh-CN" w:bidi="ar"/>
              </w:rPr>
              <w:t>指标</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分值</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指标解释</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评分标准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黑体" w:cs="Times New Roman"/>
                <w:b w:val="0"/>
                <w:bCs/>
                <w:i w:val="0"/>
                <w:color w:val="000000"/>
                <w:kern w:val="0"/>
                <w:sz w:val="24"/>
                <w:szCs w:val="24"/>
                <w:u w:val="none"/>
                <w:lang w:val="en-US" w:eastAsia="zh-CN" w:bidi="ar"/>
              </w:rPr>
            </w:pPr>
            <w:r>
              <w:rPr>
                <w:rFonts w:hint="eastAsia" w:ascii="Times New Roman" w:hAnsi="Times New Roman" w:eastAsia="黑体" w:cs="Times New Roman"/>
                <w:b w:val="0"/>
                <w:bCs/>
                <w:i w:val="0"/>
                <w:color w:val="000000"/>
                <w:kern w:val="0"/>
                <w:sz w:val="24"/>
                <w:szCs w:val="24"/>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eastAsia" w:ascii="Times New Roman" w:hAnsi="Times New Roman" w:eastAsia="黑体" w:cs="Times New Roman"/>
                <w:b w:val="0"/>
                <w:bCs/>
                <w:i w:val="0"/>
                <w:color w:val="000000"/>
                <w:kern w:val="0"/>
                <w:sz w:val="24"/>
                <w:szCs w:val="24"/>
                <w:u w:val="none"/>
                <w:lang w:val="en-US" w:eastAsia="zh-CN"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投   入</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目标</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设定</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绩效目标合理性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①符合国家法律法规、国民经济和社会发展总体规划，得1分；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②符合部门职责，得1分；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绩效指标明确性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①将部门整体的绩效目标细化分解为具体的工作任务，得1分；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②通过清晰、可衡量的指标值予以体现，得2分；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③与部门年度的任务数或计划数相对应，得2分；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配置</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在职人员控制率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3</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在职人员控制率=（在职人员数/编制数）×100%。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在职人员数：部门（单位）实际在职人数，以财政部</w:t>
            </w:r>
            <w:r>
              <w:rPr>
                <w:rFonts w:hint="eastAsia" w:ascii="Times New Roman" w:hAnsi="Times New Roman" w:eastAsia="仿宋" w:cs="Times New Roman"/>
                <w:i w:val="0"/>
                <w:color w:val="000000"/>
                <w:kern w:val="0"/>
                <w:sz w:val="24"/>
                <w:szCs w:val="24"/>
                <w:u w:val="none"/>
                <w:lang w:val="en-US" w:eastAsia="zh-CN" w:bidi="ar"/>
              </w:rPr>
              <w:t>门</w:t>
            </w:r>
            <w:r>
              <w:rPr>
                <w:rFonts w:hint="default" w:ascii="Times New Roman" w:hAnsi="Times New Roman" w:eastAsia="仿宋" w:cs="Times New Roman"/>
                <w:i w:val="0"/>
                <w:color w:val="000000"/>
                <w:kern w:val="0"/>
                <w:sz w:val="24"/>
                <w:szCs w:val="24"/>
                <w:u w:val="none"/>
                <w:lang w:val="en-US" w:eastAsia="zh-CN" w:bidi="ar"/>
              </w:rPr>
              <w:t>确定的部门决算编制口径为准。扣掉编制部门和劳动部门批复同意的临聘人员。</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在职人员控制率≤100%，得3分；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“三公经费”变动率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“三公经费”变动率=[（本年度“三公经费”预算数-上年度“三公经费”预算数）/上年度“三公经费”预算数]×100%。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“三公经费”变动率≤0，得5分；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重点支出安排率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重点支出安排率=（重点项目支出/项目总支出）×100%。</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重点项目支出：部门（单位）年度预算安排的，与本部门履职和发展密切相关、具有明显社会和经济影响、党委政府关心或社会比较关注的项目支出总额。</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重点支出安排率≥90%，得5分；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80%（含）-90%，得4分；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70%（含）-80%，得3分；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60%（含）-70%，得2分；</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＜60%，得0分。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过   程</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执行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预算完成率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4</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预算完成率≥95%，得4分；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预算调整率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预算调整率=（本年追加预算/年初预算）×100%。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预算调整率≤5%，得2分；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5%-10%（含），得1.5分；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10%-15%（含），得1分；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15%-20%（含），得0.5分；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＞20%，得0分。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新建楼堂馆所面积控制率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楼堂馆所面积控制率=实际建设面积/批准建设面积×100% 。</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新建楼堂馆所投资概算控制率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楼堂馆所投资预算控制率=实际投资金额/批准投资金额×100% 。</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该指标以20</w:t>
            </w:r>
            <w:r>
              <w:rPr>
                <w:rFonts w:hint="eastAsia" w:ascii="Times New Roman" w:hAnsi="Times New Roman" w:eastAsia="仿宋" w:cs="Times New Roman"/>
                <w:i w:val="0"/>
                <w:color w:val="000000"/>
                <w:kern w:val="0"/>
                <w:sz w:val="24"/>
                <w:szCs w:val="24"/>
                <w:u w:val="none"/>
                <w:lang w:val="en-US" w:eastAsia="zh-CN" w:bidi="ar"/>
              </w:rPr>
              <w:t>19</w:t>
            </w:r>
            <w:r>
              <w:rPr>
                <w:rFonts w:hint="default" w:ascii="Times New Roman" w:hAnsi="Times New Roman" w:eastAsia="仿宋" w:cs="Times New Roman"/>
                <w:i w:val="0"/>
                <w:color w:val="000000"/>
                <w:kern w:val="0"/>
                <w:sz w:val="24"/>
                <w:szCs w:val="24"/>
                <w:u w:val="none"/>
                <w:lang w:val="en-US" w:eastAsia="zh-CN"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楼堂馆所面积控制率≤100%，得2分；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每超出5%扣1分，扣完为止。</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公用经费控制率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公用经费控制率≤100%，得2分；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“三公经费”控制率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“三公经费”控制率≤100%，得2分；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政府采购执行率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政府采购执行率=（实际政府采购金额/政府采购预算数）×100%；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政府采购执行率=100%，得2分；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每超过（降低）5%，扣1分，扣完为止。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预算</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①是否已制定或具有预算资金管理办法、内部财务管理制度、会计核算制度、本部门厉行节约制度等管理制度；</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②相关管理制度是否合法、合规、完整；</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资金使用合规性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①是否符合国家财经法规和财务管理制度规定以及有关专项资金管理办法的规定；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②资金的拨付是否有完整的审批程序和手续；</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③项目的重大开支是否经过评估论证；</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④是否符合部门预算批复的用途；</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预决算信息公开性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2</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①是否按规定内容、规定时限公开预决算信息；</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both"/>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①按规定内容、规定时限公开预决算信息，得1分；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②基础数据信息和会计信息资料真实、完整、准确，得1分。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管理</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管理制度健全性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①已制定或具有资产管理制度，相关资金管理制度合法、合规、完整。得0.5分；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资产管理安全性</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①资产保存完整、配置合理、处置规范，得0.5分；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固定资产利用率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实际在用固定资产总额与所有固定资产总额的比率，用以反映和考核部门（单位）固定资产使用效率程度。</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固定资产利用率=100%，得1分；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每低于1%，扣0.1分，扣完为止。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   出</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职责</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履行</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个性化指标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17</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重点工作办结率</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重点工作办结率=（重点工作实际完成数/交办或下达数）×100%。</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效   果</w:t>
            </w:r>
          </w:p>
        </w:tc>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履职</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效益</w:t>
            </w: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经济效益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生态效益</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left"/>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行政效能</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textDirection w:val="tbRlV"/>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652"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社会公众或服务对象满意度</w:t>
            </w: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5</w:t>
            </w:r>
          </w:p>
        </w:tc>
        <w:tc>
          <w:tcPr>
            <w:tcW w:w="3373"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社会公众或部门（单位）的服务对象对部门履职效果的满意程度。</w:t>
            </w:r>
            <w:r>
              <w:rPr>
                <w:rFonts w:hint="default" w:ascii="Times New Roman" w:hAnsi="Times New Roman" w:eastAsia="仿宋" w:cs="Times New Roman"/>
                <w:i w:val="0"/>
                <w:color w:val="000000"/>
                <w:kern w:val="0"/>
                <w:sz w:val="24"/>
                <w:szCs w:val="24"/>
                <w:u w:val="none"/>
                <w:lang w:val="en-US" w:eastAsia="zh-CN" w:bidi="ar"/>
              </w:rPr>
              <w:br w:type="textWrapping"/>
            </w:r>
            <w:r>
              <w:rPr>
                <w:rFonts w:hint="default" w:ascii="Times New Roman" w:hAnsi="Times New Roman" w:eastAsia="仿宋" w:cs="Times New Roman"/>
                <w:i w:val="0"/>
                <w:color w:val="000000"/>
                <w:kern w:val="0"/>
                <w:sz w:val="24"/>
                <w:szCs w:val="24"/>
                <w:u w:val="none"/>
                <w:lang w:val="en-US" w:eastAsia="zh-CN"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default" w:ascii="Times New Roman" w:hAnsi="Times New Roman" w:eastAsia="仿宋" w:cs="Times New Roman"/>
                <w:i w:val="0"/>
                <w:color w:val="000000"/>
                <w:kern w:val="0"/>
                <w:sz w:val="24"/>
                <w:szCs w:val="24"/>
                <w:u w:val="none"/>
                <w:lang w:val="en-US" w:eastAsia="zh-CN" w:bidi="ar"/>
              </w:rPr>
              <w:t>≥90%，得5分；</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每降低1%，扣0.5分，扣完为止。</w:t>
            </w:r>
          </w:p>
        </w:tc>
        <w:tc>
          <w:tcPr>
            <w:tcW w:w="656"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240" w:firstLineChars="100"/>
              <w:jc w:val="left"/>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合计</w:t>
            </w:r>
          </w:p>
        </w:tc>
        <w:tc>
          <w:tcPr>
            <w:tcW w:w="652"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 w:cs="Times New Roman"/>
                <w:i w:val="0"/>
                <w:color w:val="000000"/>
                <w:sz w:val="24"/>
                <w:szCs w:val="24"/>
                <w:u w:val="none"/>
              </w:rPr>
            </w:pPr>
          </w:p>
        </w:tc>
        <w:tc>
          <w:tcPr>
            <w:tcW w:w="365" w:type="dxa"/>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1"/>
                <w:szCs w:val="21"/>
                <w:u w:val="none"/>
                <w:lang w:val="en-US" w:eastAsia="zh-CN" w:bidi="ar"/>
              </w:rPr>
              <w:t>100</w:t>
            </w:r>
          </w:p>
        </w:tc>
        <w:tc>
          <w:tcPr>
            <w:tcW w:w="3373"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 w:cs="Times New Roman"/>
                <w:i w:val="0"/>
                <w:color w:val="000000"/>
                <w:sz w:val="24"/>
                <w:szCs w:val="24"/>
                <w:u w:val="none"/>
              </w:rPr>
            </w:pPr>
          </w:p>
        </w:tc>
        <w:tc>
          <w:tcPr>
            <w:tcW w:w="3237"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rPr>
            </w:pPr>
          </w:p>
        </w:tc>
        <w:tc>
          <w:tcPr>
            <w:tcW w:w="656" w:type="dxa"/>
            <w:tcBorders>
              <w:top w:val="single" w:color="auto" w:sz="4" w:space="0"/>
              <w:left w:val="single" w:color="auto" w:sz="4" w:space="0"/>
              <w:bottom w:val="single" w:color="auto" w:sz="4" w:space="0"/>
              <w:right w:val="single" w:color="auto" w:sz="4" w:space="0"/>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100</w:t>
            </w:r>
          </w:p>
        </w:tc>
      </w:tr>
    </w:tbl>
    <w:p>
      <w:pPr>
        <w:spacing w:line="56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sz w:val="28"/>
          <w:szCs w:val="28"/>
        </w:rPr>
        <w:br w:type="page"/>
      </w:r>
      <w:r>
        <w:rPr>
          <w:rFonts w:hint="default"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ascii="Times New Roman" w:hAnsi="Times New Roman" w:eastAsia="仿宋_GB2312" w:cs="Times New Roman"/>
          <w:kern w:val="0"/>
          <w:sz w:val="24"/>
          <w:szCs w:val="24"/>
        </w:rPr>
      </w:pPr>
      <w:r>
        <w:rPr>
          <w:rFonts w:hint="default" w:ascii="Times New Roman" w:hAnsi="Times New Roman" w:eastAsia="仿宋" w:cs="Times New Roman"/>
          <w:kern w:val="0"/>
          <w:sz w:val="24"/>
          <w:szCs w:val="24"/>
        </w:rPr>
        <w:t>填报单位：</w:t>
      </w:r>
      <w:r>
        <w:rPr>
          <w:rFonts w:hint="eastAsia" w:ascii="Times New Roman" w:hAnsi="Times New Roman" w:eastAsia="仿宋" w:cs="Times New Roman"/>
          <w:kern w:val="0"/>
          <w:sz w:val="24"/>
          <w:szCs w:val="24"/>
          <w:lang w:eastAsia="zh-CN"/>
        </w:rPr>
        <w:t>桃源县扶贫开发办公室</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p>
    <w:tbl>
      <w:tblPr>
        <w:tblStyle w:val="4"/>
        <w:tblW w:w="0" w:type="auto"/>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201</w:t>
            </w:r>
            <w:r>
              <w:rPr>
                <w:rFonts w:hint="eastAsia" w:ascii="Times New Roman" w:hAnsi="Times New Roman" w:eastAsia="仿宋" w:cs="Times New Roman"/>
                <w:bCs/>
                <w:kern w:val="0"/>
                <w:sz w:val="24"/>
                <w:szCs w:val="24"/>
                <w:lang w:val="en-US" w:eastAsia="zh-CN"/>
              </w:rPr>
              <w:t>9</w:t>
            </w:r>
            <w:r>
              <w:rPr>
                <w:rFonts w:hint="default" w:ascii="Times New Roman" w:hAnsi="Times New Roman" w:eastAsia="仿宋" w:cs="Times New Roman"/>
                <w:bCs/>
                <w:kern w:val="0"/>
                <w:sz w:val="24"/>
                <w:szCs w:val="24"/>
              </w:rPr>
              <w:t>年实际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24</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20</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83.3%</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8</w:t>
            </w:r>
            <w:r>
              <w:rPr>
                <w:rFonts w:hint="eastAsia" w:ascii="黑体" w:hAnsi="黑体" w:eastAsia="黑体" w:cs="黑体"/>
                <w:bCs/>
                <w:kern w:val="0"/>
                <w:sz w:val="24"/>
                <w:szCs w:val="24"/>
              </w:rPr>
              <w:t>年决算数</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年预算数</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8</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5</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3</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8</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5</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8</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lang w:val="en-US" w:eastAsia="zh-CN"/>
              </w:rPr>
              <w:t>8</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lang w:val="en-US" w:eastAsia="zh-CN"/>
              </w:rPr>
              <w:t>19.96</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8</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lang w:val="en-US" w:eastAsia="zh-CN"/>
              </w:rPr>
              <w:t>8</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8</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3.</w:t>
            </w:r>
            <w:r>
              <w:rPr>
                <w:rFonts w:hint="default"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22.1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rPr>
            </w:pPr>
            <w:r>
              <w:rPr>
                <w:rFonts w:hint="eastAsia" w:ascii="Times New Roman" w:hAnsi="Times New Roman" w:eastAsia="仿宋" w:cs="Times New Roman"/>
                <w:color w:val="auto"/>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10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5.</w:t>
            </w:r>
            <w:r>
              <w:rPr>
                <w:rFonts w:hint="default"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6</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6</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20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楼堂馆所控制情况</w:t>
            </w:r>
            <w:r>
              <w:rPr>
                <w:rFonts w:hint="default" w:ascii="Times New Roman" w:hAnsi="Times New Roman" w:eastAsia="仿宋" w:cs="Times New Roman"/>
                <w:b/>
                <w:bCs/>
                <w:kern w:val="0"/>
                <w:sz w:val="24"/>
                <w:szCs w:val="24"/>
              </w:rPr>
              <w:br w:type="textWrapping"/>
            </w:r>
            <w:r>
              <w:rPr>
                <w:rFonts w:hint="default" w:ascii="Times New Roman" w:hAnsi="Times New Roman" w:eastAsia="仿宋" w:cs="Times New Roman"/>
                <w:b/>
                <w:bCs/>
                <w:kern w:val="0"/>
                <w:sz w:val="24"/>
                <w:szCs w:val="24"/>
              </w:rPr>
              <w:t>（201</w:t>
            </w:r>
            <w:r>
              <w:rPr>
                <w:rFonts w:hint="eastAsia" w:ascii="Times New Roman" w:hAnsi="Times New Roman" w:eastAsia="仿宋" w:cs="Times New Roman"/>
                <w:b/>
                <w:bCs/>
                <w:kern w:val="0"/>
                <w:sz w:val="24"/>
                <w:szCs w:val="24"/>
                <w:lang w:val="en-US" w:eastAsia="zh-CN"/>
              </w:rPr>
              <w:t>9</w:t>
            </w:r>
            <w:r>
              <w:rPr>
                <w:rFonts w:hint="default"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批复</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r>
              <w:rPr>
                <w:rFonts w:hint="default"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750"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lang w:eastAsia="zh-CN"/>
              </w:rPr>
            </w:pPr>
            <w:r>
              <w:rPr>
                <w:rFonts w:hint="default"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9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预算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100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94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概算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75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934"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105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100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94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bl>
    <w:p>
      <w:pPr>
        <w:widowControl/>
        <w:jc w:val="left"/>
        <w:rPr>
          <w:rFonts w:hint="default" w:ascii="Times New Roman" w:hAnsi="Times New Roman" w:eastAsia="仿宋" w:cs="Times New Roman"/>
          <w:kern w:val="0"/>
          <w:sz w:val="24"/>
          <w:szCs w:val="24"/>
        </w:rPr>
      </w:pPr>
    </w:p>
    <w:p>
      <w:pPr>
        <w:widowControl/>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hint="default" w:ascii="Times New Roman" w:hAnsi="Times New Roman" w:eastAsia="仿宋" w:cs="Times New Roman"/>
          <w:color w:val="000000"/>
          <w:sz w:val="24"/>
          <w:szCs w:val="24"/>
        </w:rPr>
      </w:pPr>
    </w:p>
    <w:sectPr>
      <w:footerReference r:id="rId3" w:type="default"/>
      <w:footerReference r:id="rId4" w:type="even"/>
      <w:pgSz w:w="11906" w:h="16838"/>
      <w:pgMar w:top="1701" w:right="1418" w:bottom="1417" w:left="1531" w:header="851" w:footer="992" w:gutter="0"/>
      <w:pgBorders>
        <w:top w:val="none" w:sz="0" w:space="0"/>
        <w:left w:val="none" w:sz="0" w:space="0"/>
        <w:bottom w:val="none" w:sz="0" w:space="0"/>
        <w:right w:val="none" w:sz="0" w:space="0"/>
      </w:pgBorders>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6EBAD"/>
    <w:multiLevelType w:val="singleLevel"/>
    <w:tmpl w:val="8356EBAD"/>
    <w:lvl w:ilvl="0" w:tentative="0">
      <w:start w:val="2"/>
      <w:numFmt w:val="chineseCounting"/>
      <w:suff w:val="nothing"/>
      <w:lvlText w:val="（%1）"/>
      <w:lvlJc w:val="left"/>
      <w:rPr>
        <w:rFonts w:hint="eastAsia"/>
      </w:rPr>
    </w:lvl>
  </w:abstractNum>
  <w:abstractNum w:abstractNumId="1">
    <w:nsid w:val="117E88A9"/>
    <w:multiLevelType w:val="singleLevel"/>
    <w:tmpl w:val="117E88A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46E0F"/>
    <w:rsid w:val="277F165D"/>
    <w:rsid w:val="293070EB"/>
    <w:rsid w:val="2C585EEA"/>
    <w:rsid w:val="2EE60E0E"/>
    <w:rsid w:val="647117ED"/>
    <w:rsid w:val="7077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2021-06-03T08:08:51Z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