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黑体" w:eastAsia="黑体"/>
          <w:sz w:val="32"/>
          <w:szCs w:val="32"/>
        </w:rPr>
      </w:pPr>
    </w:p>
    <w:p>
      <w:pPr>
        <w:jc w:val="center"/>
        <w:rPr>
          <w:sz w:val="44"/>
          <w:szCs w:val="44"/>
        </w:rPr>
      </w:pPr>
      <w:r>
        <w:rPr>
          <w:rFonts w:hint="eastAsia"/>
          <w:sz w:val="44"/>
          <w:szCs w:val="44"/>
        </w:rPr>
        <w:t>2019年度桃源县农产品质量安全检测与“三品一标”专项资金绩效自评报告</w:t>
      </w:r>
    </w:p>
    <w:p>
      <w:pPr>
        <w:spacing w:beforeLines="50" w:afterLines="50"/>
        <w:jc w:val="center"/>
        <w:rPr>
          <w:rFonts w:ascii="楷体" w:hAnsi="楷体" w:eastAsia="楷体"/>
          <w:sz w:val="32"/>
          <w:szCs w:val="32"/>
        </w:rPr>
      </w:pPr>
      <w:r>
        <w:rPr>
          <w:rFonts w:hint="eastAsia" w:ascii="楷体" w:hAnsi="楷体" w:eastAsia="楷体"/>
          <w:sz w:val="32"/>
          <w:szCs w:val="32"/>
        </w:rPr>
        <w:t>桃源县农业农村局</w:t>
      </w:r>
    </w:p>
    <w:p>
      <w:pPr>
        <w:spacing w:line="600" w:lineRule="exact"/>
        <w:ind w:firstLine="640" w:firstLineChars="200"/>
        <w:rPr>
          <w:rFonts w:ascii="黑体" w:hAnsi="黑体" w:eastAsia="黑体"/>
          <w:color w:val="333333"/>
          <w:sz w:val="32"/>
          <w:szCs w:val="32"/>
        </w:rPr>
      </w:pPr>
      <w:r>
        <w:rPr>
          <w:rFonts w:hint="eastAsia" w:ascii="黑体" w:hAnsi="黑体" w:eastAsia="黑体"/>
          <w:color w:val="333333"/>
          <w:sz w:val="32"/>
          <w:szCs w:val="32"/>
        </w:rPr>
        <w:t>一、基本情况</w:t>
      </w:r>
    </w:p>
    <w:p>
      <w:pPr>
        <w:spacing w:line="600" w:lineRule="exact"/>
        <w:ind w:firstLine="640" w:firstLineChars="200"/>
        <w:rPr>
          <w:rFonts w:ascii="仿宋" w:hAnsi="仿宋" w:eastAsia="仿宋"/>
          <w:sz w:val="32"/>
          <w:szCs w:val="32"/>
        </w:rPr>
      </w:pPr>
      <w:r>
        <w:rPr>
          <w:rFonts w:ascii="仿宋" w:hAnsi="仿宋" w:eastAsia="仿宋"/>
          <w:color w:val="333333"/>
          <w:sz w:val="32"/>
          <w:szCs w:val="32"/>
        </w:rPr>
        <w:t>桃源县农业</w:t>
      </w:r>
      <w:r>
        <w:rPr>
          <w:rFonts w:hint="eastAsia" w:ascii="仿宋" w:hAnsi="仿宋" w:eastAsia="仿宋"/>
          <w:color w:val="333333"/>
          <w:sz w:val="32"/>
          <w:szCs w:val="32"/>
        </w:rPr>
        <w:t>农村</w:t>
      </w:r>
      <w:r>
        <w:rPr>
          <w:rFonts w:ascii="仿宋" w:hAnsi="仿宋" w:eastAsia="仿宋"/>
          <w:color w:val="333333"/>
          <w:sz w:val="32"/>
          <w:szCs w:val="32"/>
        </w:rPr>
        <w:t>局是县人民政府组成部门，主管全县农业生产和农业经济发展。具备农业规划与设计、农业技术研发推广和教育培训、农产品质量</w:t>
      </w:r>
      <w:r>
        <w:rPr>
          <w:rFonts w:hint="eastAsia" w:ascii="仿宋" w:hAnsi="仿宋" w:eastAsia="仿宋"/>
          <w:color w:val="333333"/>
          <w:sz w:val="32"/>
          <w:szCs w:val="32"/>
        </w:rPr>
        <w:t>安全监管</w:t>
      </w:r>
      <w:r>
        <w:rPr>
          <w:rFonts w:ascii="仿宋" w:hAnsi="仿宋" w:eastAsia="仿宋"/>
          <w:color w:val="333333"/>
          <w:sz w:val="32"/>
          <w:szCs w:val="32"/>
        </w:rPr>
        <w:t>、农业环境保护、农业行政执法、病虫害综合防治等综合职能。</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2019年，我县为国家农产品质量安全创建单位，县级财政专项给予了大力支持，年初预算</w:t>
      </w:r>
      <w:r>
        <w:rPr>
          <w:rFonts w:hint="eastAsia" w:ascii="仿宋" w:hAnsi="仿宋" w:eastAsia="仿宋" w:cs="宋体"/>
          <w:color w:val="000000"/>
          <w:kern w:val="0"/>
          <w:sz w:val="32"/>
          <w:szCs w:val="32"/>
        </w:rPr>
        <w:t>安排专项资金100万元，</w:t>
      </w:r>
      <w:r>
        <w:rPr>
          <w:rFonts w:hint="eastAsia" w:ascii="仿宋" w:hAnsi="仿宋" w:eastAsia="仿宋"/>
          <w:sz w:val="32"/>
          <w:szCs w:val="32"/>
        </w:rPr>
        <w:t>根据有关精神，现将该项目绩效自评情况报告如下：</w:t>
      </w:r>
    </w:p>
    <w:p>
      <w:pPr>
        <w:pStyle w:val="6"/>
        <w:widowControl/>
        <w:spacing w:line="600" w:lineRule="exact"/>
        <w:ind w:firstLine="640"/>
        <w:rPr>
          <w:rFonts w:ascii="黑体" w:hAnsi="黑体" w:eastAsia="黑体"/>
          <w:sz w:val="32"/>
          <w:szCs w:val="32"/>
        </w:rPr>
      </w:pPr>
      <w:r>
        <w:rPr>
          <w:rFonts w:hint="eastAsia" w:ascii="黑体" w:hAnsi="黑体" w:eastAsia="黑体"/>
          <w:sz w:val="32"/>
          <w:szCs w:val="32"/>
        </w:rPr>
        <w:t>二、专项资金安排和管理情况</w:t>
      </w:r>
    </w:p>
    <w:p>
      <w:pPr>
        <w:spacing w:line="360" w:lineRule="auto"/>
        <w:ind w:firstLine="640" w:firstLineChars="200"/>
        <w:rPr>
          <w:rFonts w:ascii="仿宋" w:hAnsi="仿宋" w:eastAsia="仿宋"/>
          <w:sz w:val="32"/>
          <w:szCs w:val="32"/>
        </w:rPr>
      </w:pPr>
      <w:r>
        <w:rPr>
          <w:rFonts w:hint="eastAsia" w:ascii="楷体" w:hAnsi="楷体" w:eastAsia="楷体"/>
          <w:sz w:val="32"/>
          <w:szCs w:val="32"/>
        </w:rPr>
        <w:t>1、项目资金概况。</w:t>
      </w:r>
      <w:r>
        <w:rPr>
          <w:rFonts w:hint="eastAsia" w:ascii="仿宋" w:hAnsi="仿宋" w:eastAsia="仿宋"/>
          <w:sz w:val="32"/>
          <w:szCs w:val="32"/>
        </w:rPr>
        <w:t>该项目由五部分组成，资金总额投入100万元，分别用于农残检测60万元（县本级45万元、乡镇15万元），农业标准化技术推广与示范20万元，“三品一标”认证与管理5万元，</w:t>
      </w:r>
      <w:r>
        <w:rPr>
          <w:rFonts w:hint="eastAsia" w:ascii="仿宋" w:hAnsi="仿宋" w:eastAsia="仿宋"/>
          <w:bCs/>
          <w:sz w:val="32"/>
          <w:szCs w:val="32"/>
        </w:rPr>
        <w:t>农产品“身份证”管理与追溯平台建设</w:t>
      </w:r>
      <w:r>
        <w:rPr>
          <w:rFonts w:hint="eastAsia" w:ascii="仿宋" w:hAnsi="仿宋" w:eastAsia="仿宋"/>
          <w:sz w:val="32"/>
          <w:szCs w:val="32"/>
        </w:rPr>
        <w:t xml:space="preserve">15万元。 </w:t>
      </w:r>
    </w:p>
    <w:p>
      <w:pPr>
        <w:spacing w:line="600" w:lineRule="exact"/>
        <w:ind w:firstLine="640" w:firstLineChars="200"/>
        <w:rPr>
          <w:rFonts w:ascii="仿宋" w:hAnsi="仿宋" w:eastAsia="仿宋"/>
          <w:sz w:val="32"/>
          <w:szCs w:val="32"/>
        </w:rPr>
      </w:pPr>
      <w:r>
        <w:rPr>
          <w:rFonts w:hint="eastAsia" w:ascii="楷体" w:hAnsi="楷体" w:eastAsia="楷体"/>
          <w:sz w:val="32"/>
          <w:szCs w:val="32"/>
        </w:rPr>
        <w:t>2、资金使用管理情况。</w:t>
      </w:r>
      <w:r>
        <w:rPr>
          <w:rFonts w:hint="eastAsia" w:ascii="仿宋" w:hAnsi="仿宋" w:eastAsia="仿宋"/>
          <w:sz w:val="32"/>
          <w:szCs w:val="32"/>
        </w:rPr>
        <w:t>资金主要用于农产品质量安全检测、“三品一标”认证管理、农业标准化技术推广、乡镇农产品质量安全监管工作开展等。项目实施与资金管理严格按照《农产品质量安全监管项目管理办法》、《农产品质量安全专项资金管理办法》。</w:t>
      </w:r>
    </w:p>
    <w:p>
      <w:pPr>
        <w:spacing w:line="600" w:lineRule="exact"/>
        <w:ind w:firstLine="640" w:firstLineChars="200"/>
        <w:rPr>
          <w:rFonts w:ascii="仿宋" w:hAnsi="仿宋" w:eastAsia="仿宋"/>
          <w:sz w:val="32"/>
          <w:szCs w:val="32"/>
        </w:rPr>
      </w:pPr>
      <w:r>
        <w:rPr>
          <w:rFonts w:hint="eastAsia" w:ascii="黑体" w:hAnsi="黑体" w:eastAsia="黑体"/>
          <w:sz w:val="32"/>
          <w:szCs w:val="32"/>
        </w:rPr>
        <w:t>三、专项资金支出绩效情况</w:t>
      </w:r>
    </w:p>
    <w:p>
      <w:pPr>
        <w:spacing w:line="600" w:lineRule="exact"/>
        <w:ind w:firstLine="640" w:firstLineChars="200"/>
        <w:rPr>
          <w:rFonts w:ascii="仿宋" w:hAnsi="仿宋" w:eastAsia="仿宋"/>
          <w:sz w:val="32"/>
          <w:szCs w:val="32"/>
        </w:rPr>
      </w:pPr>
      <w:r>
        <w:rPr>
          <w:rFonts w:hint="eastAsia" w:ascii="楷体" w:hAnsi="楷体" w:eastAsia="楷体"/>
          <w:sz w:val="32"/>
          <w:szCs w:val="32"/>
        </w:rPr>
        <w:t>1、资金支出情况：</w:t>
      </w:r>
      <w:r>
        <w:rPr>
          <w:rFonts w:hint="eastAsia" w:ascii="仿宋" w:hAnsi="仿宋" w:eastAsia="仿宋"/>
          <w:sz w:val="32"/>
          <w:szCs w:val="32"/>
        </w:rPr>
        <w:t>项目资金100万元，到位资金100万元，实际支出100万元。主要支出为农残检测60万元（县监测中心农残检测45万元，乡镇农残检测15万元）；农业标准化技术推广与示范20万元（宣传牌租赁2.5万元，宣传牌制作3.1万元，黄板纸应用13万元，标识牌宣传资料等1.4万元）；“三品一标”认证与管理5万元；</w:t>
      </w:r>
      <w:r>
        <w:rPr>
          <w:rFonts w:hint="eastAsia" w:ascii="仿宋" w:hAnsi="仿宋" w:eastAsia="仿宋"/>
          <w:bCs/>
          <w:sz w:val="32"/>
          <w:szCs w:val="32"/>
        </w:rPr>
        <w:t>农产品“身份证”管理与追溯平台建设</w:t>
      </w:r>
      <w:r>
        <w:rPr>
          <w:rFonts w:hint="eastAsia" w:ascii="仿宋" w:hAnsi="仿宋" w:eastAsia="仿宋"/>
          <w:sz w:val="32"/>
          <w:szCs w:val="32"/>
        </w:rPr>
        <w:t>15万元（差旅费1.72万元，追溯管理茶叶抽样2.06万元，印刷费1.02万元，</w:t>
      </w:r>
      <w:r>
        <w:rPr>
          <w:rFonts w:hint="eastAsia" w:ascii="仿宋_GB2312" w:hAnsi="黑体" w:eastAsia="仿宋_GB2312"/>
          <w:sz w:val="32"/>
          <w:szCs w:val="32"/>
        </w:rPr>
        <w:t>县检测中心“双认证”费用</w:t>
      </w:r>
      <w:r>
        <w:rPr>
          <w:rFonts w:hint="eastAsia" w:ascii="仿宋" w:hAnsi="仿宋" w:eastAsia="仿宋"/>
          <w:sz w:val="32"/>
          <w:szCs w:val="32"/>
        </w:rPr>
        <w:t>8.2万元，拨乡镇追溯管理费用2万元）（县检测中心“双认证”工作本应2020年2月左右并列支，受疫情影响，经请示省厅同意，在2020年7月实施，故此项支出推迟）。</w:t>
      </w:r>
      <w:r>
        <w:rPr>
          <w:rFonts w:ascii="仿宋" w:hAnsi="仿宋" w:eastAsia="仿宋"/>
          <w:sz w:val="32"/>
          <w:szCs w:val="32"/>
        </w:rPr>
        <w:t xml:space="preserve"> </w:t>
      </w:r>
    </w:p>
    <w:p>
      <w:pPr>
        <w:spacing w:line="560" w:lineRule="exact"/>
        <w:ind w:firstLine="640" w:firstLineChars="200"/>
        <w:rPr>
          <w:rFonts w:ascii="仿宋" w:hAnsi="仿宋" w:eastAsia="仿宋"/>
          <w:color w:val="000000" w:themeColor="text1"/>
          <w:sz w:val="32"/>
          <w:szCs w:val="32"/>
        </w:rPr>
      </w:pPr>
      <w:r>
        <w:rPr>
          <w:rFonts w:hint="eastAsia" w:ascii="楷体" w:hAnsi="楷体" w:eastAsia="楷体"/>
          <w:sz w:val="32"/>
          <w:szCs w:val="32"/>
        </w:rPr>
        <w:t>2、专项绩效：</w:t>
      </w:r>
      <w:r>
        <w:rPr>
          <w:rFonts w:hint="eastAsia" w:ascii="仿宋" w:hAnsi="仿宋" w:eastAsia="仿宋"/>
          <w:sz w:val="32"/>
          <w:szCs w:val="32"/>
        </w:rPr>
        <w:t>通过该项目建设，我县农产品质量安全水平已得到明显提升，农产品监管体系得到健全，监管检验能力得到得升，农产品质量安全意识明显增强，农产品质量安全检测合格率达到99%，国家农产品质量安全县创建验收顺利通过，</w:t>
      </w:r>
      <w:r>
        <w:rPr>
          <w:rFonts w:hint="eastAsia" w:ascii="仿宋_GB2312" w:eastAsia="仿宋_GB2312"/>
          <w:bCs/>
          <w:sz w:val="32"/>
          <w:szCs w:val="32"/>
        </w:rPr>
        <w:t>县本</w:t>
      </w:r>
      <w:r>
        <w:rPr>
          <w:rFonts w:ascii="仿宋_GB2312" w:eastAsia="仿宋_GB2312"/>
          <w:bCs/>
          <w:sz w:val="32"/>
          <w:szCs w:val="32"/>
        </w:rPr>
        <w:t>级例行监测</w:t>
      </w:r>
      <w:r>
        <w:rPr>
          <w:rFonts w:hint="eastAsia" w:ascii="仿宋_GB2312" w:eastAsia="仿宋_GB2312"/>
          <w:bCs/>
          <w:sz w:val="32"/>
          <w:szCs w:val="32"/>
        </w:rPr>
        <w:t>完成了6025</w:t>
      </w:r>
      <w:r>
        <w:rPr>
          <w:rFonts w:ascii="仿宋_GB2312" w:eastAsia="仿宋_GB2312"/>
          <w:bCs/>
          <w:sz w:val="32"/>
          <w:szCs w:val="32"/>
        </w:rPr>
        <w:t>批次，</w:t>
      </w:r>
      <w:r>
        <w:rPr>
          <w:rFonts w:hint="eastAsia" w:ascii="仿宋_GB2312" w:eastAsia="仿宋_GB2312"/>
          <w:bCs/>
          <w:sz w:val="32"/>
          <w:szCs w:val="32"/>
        </w:rPr>
        <w:t>其中定量检测1039批次以上；县乡共计完成定性检测72942批次（县本级开展日常监测42830批次，各乡镇开展日常监测30112批次）</w:t>
      </w:r>
      <w:r>
        <w:rPr>
          <w:rFonts w:hint="eastAsia" w:ascii="仿宋" w:hAnsi="仿宋" w:eastAsia="仿宋"/>
          <w:color w:val="000000" w:themeColor="text1"/>
          <w:sz w:val="32"/>
          <w:szCs w:val="32"/>
        </w:rPr>
        <w:t>合格率99.9%，高于考核指标1.9个百分点，</w:t>
      </w:r>
      <w:r>
        <w:rPr>
          <w:rFonts w:hint="eastAsia" w:ascii="仿宋" w:hAnsi="仿宋" w:eastAsia="仿宋"/>
          <w:sz w:val="32"/>
          <w:szCs w:val="32"/>
        </w:rPr>
        <w:t>完成“三品一标”认证农产品20个。</w:t>
      </w:r>
    </w:p>
    <w:p>
      <w:pPr>
        <w:spacing w:line="600" w:lineRule="exact"/>
        <w:ind w:firstLine="640" w:firstLineChars="200"/>
        <w:rPr>
          <w:rFonts w:ascii="仿宋" w:hAnsi="仿宋" w:eastAsia="仿宋"/>
          <w:sz w:val="32"/>
          <w:szCs w:val="32"/>
        </w:rPr>
      </w:pPr>
      <w:r>
        <w:rPr>
          <w:rFonts w:hint="eastAsia" w:ascii="楷体" w:hAnsi="楷体" w:eastAsia="楷体"/>
          <w:sz w:val="32"/>
          <w:szCs w:val="32"/>
        </w:rPr>
        <w:t>3、绩效评价工作过程：</w:t>
      </w:r>
      <w:r>
        <w:rPr>
          <w:rFonts w:hint="eastAsia" w:ascii="仿宋" w:hAnsi="仿宋" w:eastAsia="仿宋"/>
          <w:b/>
          <w:sz w:val="32"/>
          <w:szCs w:val="32"/>
        </w:rPr>
        <w:t>前期工作：</w:t>
      </w:r>
      <w:r>
        <w:rPr>
          <w:rFonts w:hint="eastAsia" w:ascii="仿宋" w:hAnsi="仿宋" w:eastAsia="仿宋"/>
          <w:sz w:val="32"/>
          <w:szCs w:val="32"/>
        </w:rPr>
        <w:t>根据重点绩效评价项目，确定2019年度桃源县农产品质量安全检测专项为绩效评价的重点项目。认真学习领悟项目绩效评价指标，并完成项目绩效自评。</w:t>
      </w:r>
      <w:r>
        <w:rPr>
          <w:rFonts w:hint="eastAsia" w:ascii="仿宋" w:hAnsi="仿宋" w:eastAsia="仿宋"/>
          <w:b/>
          <w:sz w:val="32"/>
          <w:szCs w:val="32"/>
        </w:rPr>
        <w:t>分析评价体系：</w:t>
      </w:r>
      <w:r>
        <w:rPr>
          <w:rFonts w:hint="eastAsia" w:ascii="仿宋" w:hAnsi="仿宋" w:eastAsia="仿宋"/>
          <w:sz w:val="32"/>
          <w:szCs w:val="32"/>
        </w:rPr>
        <w:t>根据绩效自评有关精神，绩效评价从立项、资金落实、业务管理、财务管理、项目产出、项目效益六方面进行，最后综合六方面考评情况形成专项综合绩效考评等级。</w:t>
      </w:r>
      <w:r>
        <w:rPr>
          <w:rFonts w:hint="eastAsia" w:ascii="仿宋" w:hAnsi="仿宋" w:eastAsia="仿宋"/>
          <w:b/>
          <w:sz w:val="32"/>
          <w:szCs w:val="32"/>
        </w:rPr>
        <w:t>评价工作：</w:t>
      </w:r>
      <w:r>
        <w:rPr>
          <w:rFonts w:hint="eastAsia" w:ascii="仿宋" w:hAnsi="仿宋" w:eastAsia="仿宋"/>
          <w:sz w:val="32"/>
          <w:szCs w:val="32"/>
        </w:rPr>
        <w:t>按《财政支出绩效管理办法》要求，我局从相关性、效率、效果及可持续性等六个方面对专项进行绩效核查再评价。从专项资金使用、实施产生绩效情况等方面，查找项目存在问题及提出改进措施及建议，在对每个准则进行评价定级基础上形成专项综合评价结论。</w:t>
      </w:r>
    </w:p>
    <w:p>
      <w:pPr>
        <w:spacing w:line="600" w:lineRule="exact"/>
        <w:ind w:firstLine="640" w:firstLineChars="200"/>
        <w:rPr>
          <w:rFonts w:ascii="仿宋" w:hAnsi="仿宋" w:eastAsia="仿宋"/>
          <w:sz w:val="32"/>
          <w:szCs w:val="32"/>
        </w:rPr>
      </w:pPr>
      <w:r>
        <w:rPr>
          <w:rFonts w:hint="eastAsia" w:ascii="楷体" w:hAnsi="楷体" w:eastAsia="楷体"/>
          <w:sz w:val="32"/>
          <w:szCs w:val="32"/>
        </w:rPr>
        <w:t>4、评价结果：</w:t>
      </w:r>
      <w:r>
        <w:rPr>
          <w:rFonts w:hint="eastAsia" w:ascii="仿宋" w:hAnsi="仿宋" w:eastAsia="仿宋"/>
          <w:sz w:val="32"/>
          <w:szCs w:val="32"/>
        </w:rPr>
        <w:t>根据指标评分，得分为98分，财政支出“良好”。基层政府、主体对象和广大人民群众普遍对农产品质量安全监管项目建设给予一致好评，认为此项目起到了四两拨千斤的作用，一再要求继续稳定和加大对农产品质量安全监管建设支持力度，继续抓好宣传培训、风险监测和隐患排查、标准技术规程新修制定、示范乡镇监管站建设等工作，确保我县不发生任何农产品安全事件。</w:t>
      </w:r>
    </w:p>
    <w:p>
      <w:pPr>
        <w:spacing w:line="600" w:lineRule="exact"/>
        <w:ind w:firstLine="640" w:firstLineChars="200"/>
        <w:rPr>
          <w:rFonts w:ascii="仿宋" w:hAnsi="仿宋" w:eastAsia="仿宋"/>
          <w:sz w:val="32"/>
          <w:szCs w:val="32"/>
        </w:rPr>
      </w:pPr>
      <w:r>
        <w:rPr>
          <w:rFonts w:hint="eastAsia" w:ascii="黑体" w:hAnsi="黑体" w:eastAsia="黑体"/>
          <w:sz w:val="32"/>
          <w:szCs w:val="32"/>
        </w:rPr>
        <w:t>四、存在的主要问题及下一步改进措施</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分散投入，难以形成合力。虽然我县农产品质量监管工作在项目支持和领导高度重视的情况下有了飞越式的进步，但农产品质量监管工作点多面广，且群众认知水平与掌握方法情况底子不一，分散投入，难以形成合力。</w:t>
      </w:r>
    </w:p>
    <w:p>
      <w:pPr>
        <w:spacing w:line="600" w:lineRule="exact"/>
        <w:ind w:firstLine="640" w:firstLineChars="200"/>
        <w:rPr>
          <w:rFonts w:ascii="仿宋" w:hAnsi="仿宋" w:eastAsia="仿宋"/>
          <w:sz w:val="32"/>
          <w:szCs w:val="32"/>
        </w:rPr>
      </w:pPr>
      <w:r>
        <w:rPr>
          <w:rFonts w:hint="eastAsia" w:ascii="黑体" w:hAnsi="黑体" w:eastAsia="黑体"/>
          <w:sz w:val="32"/>
          <w:szCs w:val="32"/>
        </w:rPr>
        <w:t>五、绩效自评结果拟应用和公开情况</w:t>
      </w:r>
    </w:p>
    <w:p>
      <w:pPr>
        <w:widowControl/>
        <w:spacing w:line="600" w:lineRule="exact"/>
        <w:ind w:firstLine="482"/>
        <w:rPr>
          <w:rFonts w:ascii="仿宋" w:hAnsi="仿宋" w:eastAsia="仿宋" w:cs="宋体"/>
          <w:kern w:val="0"/>
          <w:sz w:val="32"/>
          <w:szCs w:val="32"/>
        </w:rPr>
      </w:pPr>
      <w:r>
        <w:rPr>
          <w:rFonts w:hint="eastAsia" w:ascii="仿宋" w:hAnsi="仿宋" w:eastAsia="仿宋" w:cs="宋体"/>
          <w:kern w:val="0"/>
          <w:sz w:val="32"/>
          <w:szCs w:val="32"/>
        </w:rPr>
        <w:t>1.本次绩效评价工作结束后，我局将及时把绩效评价信息反馈给项目具体实施人员，督促改进管理措施，提高管理水平，并对结果进行通报，确保单位人员对绩效管理工作的认识和重视程度得到提高。</w:t>
      </w:r>
    </w:p>
    <w:p>
      <w:pPr>
        <w:widowControl/>
        <w:spacing w:line="600" w:lineRule="exact"/>
        <w:ind w:firstLine="482"/>
        <w:rPr>
          <w:rFonts w:ascii="仿宋" w:hAnsi="仿宋" w:eastAsia="仿宋" w:cs="宋体"/>
          <w:kern w:val="0"/>
          <w:sz w:val="32"/>
          <w:szCs w:val="32"/>
        </w:rPr>
      </w:pPr>
      <w:r>
        <w:rPr>
          <w:rFonts w:hint="eastAsia" w:ascii="仿宋" w:hAnsi="仿宋" w:eastAsia="仿宋" w:cs="宋体"/>
          <w:kern w:val="0"/>
          <w:sz w:val="32"/>
          <w:szCs w:val="32"/>
        </w:rPr>
        <w:t>2.我局将按照统一要求公开本次绩效评价结果，接受公众监督。</w:t>
      </w:r>
    </w:p>
    <w:p>
      <w:pPr>
        <w:widowControl/>
        <w:spacing w:line="600" w:lineRule="exact"/>
        <w:ind w:firstLine="645"/>
        <w:rPr>
          <w:rFonts w:ascii="黑体" w:hAnsi="黑体" w:eastAsia="黑体"/>
          <w:sz w:val="32"/>
          <w:szCs w:val="32"/>
        </w:rPr>
      </w:pPr>
      <w:r>
        <w:rPr>
          <w:rFonts w:hint="eastAsia" w:ascii="黑体" w:hAnsi="黑体" w:eastAsia="黑体"/>
          <w:sz w:val="32"/>
          <w:szCs w:val="32"/>
        </w:rPr>
        <w:t>六、其他需要说明的情况</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无。</w:t>
      </w:r>
    </w:p>
    <w:p>
      <w:pPr>
        <w:spacing w:line="600" w:lineRule="exact"/>
        <w:ind w:firstLine="640" w:firstLineChars="200"/>
        <w:rPr>
          <w:rFonts w:ascii="楷体" w:hAnsi="楷体" w:eastAsia="楷体"/>
          <w:sz w:val="32"/>
          <w:szCs w:val="32"/>
        </w:rPr>
      </w:pPr>
    </w:p>
    <w:p>
      <w:pPr>
        <w:spacing w:line="600" w:lineRule="exact"/>
        <w:ind w:firstLine="640" w:firstLineChars="200"/>
        <w:rPr>
          <w:rFonts w:ascii="仿宋" w:hAnsi="仿宋" w:eastAsia="仿宋"/>
          <w:sz w:val="32"/>
          <w:szCs w:val="32"/>
        </w:rPr>
      </w:pPr>
      <w:bookmarkStart w:id="0" w:name="_GoBack"/>
      <w:bookmarkEnd w:id="0"/>
    </w:p>
    <w:p>
      <w:pPr>
        <w:spacing w:line="600" w:lineRule="exact"/>
        <w:ind w:firstLine="4320" w:firstLineChars="1350"/>
        <w:rPr>
          <w:rFonts w:ascii="仿宋" w:hAnsi="仿宋" w:eastAsia="仿宋"/>
          <w:sz w:val="32"/>
          <w:szCs w:val="32"/>
        </w:rPr>
      </w:pPr>
    </w:p>
    <w:p>
      <w:pPr>
        <w:tabs>
          <w:tab w:val="left" w:pos="7088"/>
        </w:tabs>
        <w:spacing w:line="600" w:lineRule="exact"/>
        <w:ind w:firstLine="4640" w:firstLineChars="1450"/>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E0788"/>
    <w:rsid w:val="00004131"/>
    <w:rsid w:val="000407C0"/>
    <w:rsid w:val="0004725E"/>
    <w:rsid w:val="0007497D"/>
    <w:rsid w:val="000E4E28"/>
    <w:rsid w:val="000F6E87"/>
    <w:rsid w:val="00105C24"/>
    <w:rsid w:val="0013115F"/>
    <w:rsid w:val="001468FE"/>
    <w:rsid w:val="001646A7"/>
    <w:rsid w:val="0016485C"/>
    <w:rsid w:val="0018461C"/>
    <w:rsid w:val="001935D2"/>
    <w:rsid w:val="001B3A26"/>
    <w:rsid w:val="001E3A3A"/>
    <w:rsid w:val="002050CD"/>
    <w:rsid w:val="00226882"/>
    <w:rsid w:val="00242DCA"/>
    <w:rsid w:val="0026376D"/>
    <w:rsid w:val="00291656"/>
    <w:rsid w:val="002B281D"/>
    <w:rsid w:val="00323AB3"/>
    <w:rsid w:val="00350D46"/>
    <w:rsid w:val="003818A2"/>
    <w:rsid w:val="003842DF"/>
    <w:rsid w:val="00390489"/>
    <w:rsid w:val="00391EB4"/>
    <w:rsid w:val="00396EBF"/>
    <w:rsid w:val="003B7F2D"/>
    <w:rsid w:val="003F1490"/>
    <w:rsid w:val="004022AE"/>
    <w:rsid w:val="00403CB1"/>
    <w:rsid w:val="004401D6"/>
    <w:rsid w:val="0045672C"/>
    <w:rsid w:val="004A67AC"/>
    <w:rsid w:val="004C2D95"/>
    <w:rsid w:val="004D1CCB"/>
    <w:rsid w:val="004D2001"/>
    <w:rsid w:val="004D5B79"/>
    <w:rsid w:val="004E49F3"/>
    <w:rsid w:val="00574D90"/>
    <w:rsid w:val="00581C1A"/>
    <w:rsid w:val="005B16B9"/>
    <w:rsid w:val="005E6C44"/>
    <w:rsid w:val="005E7881"/>
    <w:rsid w:val="005F3E74"/>
    <w:rsid w:val="00613E71"/>
    <w:rsid w:val="00623757"/>
    <w:rsid w:val="006368B9"/>
    <w:rsid w:val="00677243"/>
    <w:rsid w:val="006A33B6"/>
    <w:rsid w:val="006C11CD"/>
    <w:rsid w:val="006D30F4"/>
    <w:rsid w:val="006E1701"/>
    <w:rsid w:val="00712341"/>
    <w:rsid w:val="00726AD2"/>
    <w:rsid w:val="00735756"/>
    <w:rsid w:val="00747FF4"/>
    <w:rsid w:val="00760BBF"/>
    <w:rsid w:val="0077770D"/>
    <w:rsid w:val="00793A3A"/>
    <w:rsid w:val="007A33E5"/>
    <w:rsid w:val="007E1177"/>
    <w:rsid w:val="007E4B13"/>
    <w:rsid w:val="00821D99"/>
    <w:rsid w:val="00830DAC"/>
    <w:rsid w:val="00832260"/>
    <w:rsid w:val="00836529"/>
    <w:rsid w:val="00840BA9"/>
    <w:rsid w:val="008416C5"/>
    <w:rsid w:val="00867BC2"/>
    <w:rsid w:val="00876900"/>
    <w:rsid w:val="00882C74"/>
    <w:rsid w:val="00892FC2"/>
    <w:rsid w:val="008B4B1C"/>
    <w:rsid w:val="008C017C"/>
    <w:rsid w:val="00916DE9"/>
    <w:rsid w:val="00927F21"/>
    <w:rsid w:val="00934C5C"/>
    <w:rsid w:val="00934F2A"/>
    <w:rsid w:val="00952AE5"/>
    <w:rsid w:val="00972D7F"/>
    <w:rsid w:val="009873AD"/>
    <w:rsid w:val="009A7EBD"/>
    <w:rsid w:val="009B22B3"/>
    <w:rsid w:val="009D67A8"/>
    <w:rsid w:val="00A0187B"/>
    <w:rsid w:val="00A03084"/>
    <w:rsid w:val="00A076E2"/>
    <w:rsid w:val="00A162C6"/>
    <w:rsid w:val="00A22E97"/>
    <w:rsid w:val="00A56D56"/>
    <w:rsid w:val="00A92276"/>
    <w:rsid w:val="00AA5918"/>
    <w:rsid w:val="00AF6C41"/>
    <w:rsid w:val="00B21BA3"/>
    <w:rsid w:val="00B64C7B"/>
    <w:rsid w:val="00B7207A"/>
    <w:rsid w:val="00BE0788"/>
    <w:rsid w:val="00BE20FF"/>
    <w:rsid w:val="00BF662F"/>
    <w:rsid w:val="00C0689D"/>
    <w:rsid w:val="00C16329"/>
    <w:rsid w:val="00C26FE3"/>
    <w:rsid w:val="00C307DC"/>
    <w:rsid w:val="00C72535"/>
    <w:rsid w:val="00C92BF5"/>
    <w:rsid w:val="00C94F91"/>
    <w:rsid w:val="00C96B2E"/>
    <w:rsid w:val="00CA6365"/>
    <w:rsid w:val="00CD14D9"/>
    <w:rsid w:val="00CE0FB5"/>
    <w:rsid w:val="00CF1BB3"/>
    <w:rsid w:val="00D205A0"/>
    <w:rsid w:val="00D85CB9"/>
    <w:rsid w:val="00DC33E6"/>
    <w:rsid w:val="00E1747F"/>
    <w:rsid w:val="00E36F79"/>
    <w:rsid w:val="00E44EA0"/>
    <w:rsid w:val="00E512B5"/>
    <w:rsid w:val="00E52B7A"/>
    <w:rsid w:val="00E53DFE"/>
    <w:rsid w:val="00E8285B"/>
    <w:rsid w:val="00E94AEA"/>
    <w:rsid w:val="00E957BC"/>
    <w:rsid w:val="00EA5D1D"/>
    <w:rsid w:val="00EB0FE2"/>
    <w:rsid w:val="00EB3137"/>
    <w:rsid w:val="00EC0E8C"/>
    <w:rsid w:val="00F0228F"/>
    <w:rsid w:val="00F04D68"/>
    <w:rsid w:val="00F45102"/>
    <w:rsid w:val="00F512CF"/>
    <w:rsid w:val="00F77006"/>
    <w:rsid w:val="00FB780D"/>
    <w:rsid w:val="00FE78A1"/>
    <w:rsid w:val="00FF2016"/>
    <w:rsid w:val="00FF21E4"/>
    <w:rsid w:val="40E01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99"/>
    <w:pPr>
      <w:ind w:firstLine="420" w:firstLineChars="200"/>
    </w:p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280</Words>
  <Characters>1598</Characters>
  <Lines>13</Lines>
  <Paragraphs>3</Paragraphs>
  <TotalTime>781</TotalTime>
  <ScaleCrop>false</ScaleCrop>
  <LinksUpToDate>false</LinksUpToDate>
  <CharactersWithSpaces>1875</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2016-05-13T02:51:00Z</dcterms:created>
  <dc:creator>AutoBVT</dc:creator>
  <cp:lastModifiedBy>Administrator</cp:lastModifiedBy>
  <cp:lastPrinted>2020-11-06T08:27:00Z</cp:lastPrinted>
  <dcterms:modified xsi:type="dcterms:W3CDTF">2021-06-07T03:39:08Z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395846A8509B4AA79ED009809FFBC535</vt:lpwstr>
  </property>
</Properties>
</file>