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eastAsia="zh-CN"/>
        </w:rPr>
        <w:t>桃源县人民政府金融工作办公室</w:t>
      </w:r>
    </w:p>
    <w:p>
      <w:pPr>
        <w:spacing w:line="560" w:lineRule="exact"/>
        <w:jc w:val="center"/>
        <w:rPr>
          <w:rFonts w:hint="eastAsia" w:ascii="黑体" w:hAnsi="黑体" w:eastAsia="黑体" w:cs="黑体"/>
          <w:b/>
          <w:bCs/>
          <w:kern w:val="0"/>
          <w:sz w:val="44"/>
          <w:szCs w:val="44"/>
        </w:rPr>
      </w:pPr>
      <w:r>
        <w:rPr>
          <w:rFonts w:hint="eastAsia" w:ascii="黑体" w:hAnsi="黑体" w:eastAsia="黑体" w:cs="黑体"/>
          <w:b/>
          <w:bCs/>
          <w:kern w:val="0"/>
          <w:sz w:val="44"/>
          <w:szCs w:val="44"/>
          <w:lang w:eastAsia="zh-CN"/>
        </w:rPr>
        <w:t>201</w:t>
      </w:r>
      <w:r>
        <w:rPr>
          <w:rFonts w:hint="eastAsia" w:ascii="黑体" w:hAnsi="黑体" w:eastAsia="黑体" w:cs="黑体"/>
          <w:b/>
          <w:bCs/>
          <w:kern w:val="0"/>
          <w:sz w:val="44"/>
          <w:szCs w:val="44"/>
          <w:lang w:val="en-US" w:eastAsia="zh-CN"/>
        </w:rPr>
        <w:t>9</w:t>
      </w:r>
      <w:r>
        <w:rPr>
          <w:rFonts w:hint="eastAsia" w:ascii="黑体" w:hAnsi="黑体" w:eastAsia="黑体" w:cs="黑体"/>
          <w:b/>
          <w:bCs/>
          <w:kern w:val="0"/>
          <w:sz w:val="44"/>
          <w:szCs w:val="44"/>
        </w:rPr>
        <w:t>年度整体支出绩效</w:t>
      </w:r>
      <w:r>
        <w:rPr>
          <w:rFonts w:hint="eastAsia" w:ascii="黑体" w:hAnsi="黑体" w:eastAsia="黑体" w:cs="黑体"/>
          <w:b/>
          <w:bCs/>
          <w:kern w:val="0"/>
          <w:sz w:val="44"/>
          <w:szCs w:val="44"/>
          <w:lang w:val="en-US" w:eastAsia="zh-CN"/>
        </w:rPr>
        <w:t>自评</w:t>
      </w:r>
      <w:r>
        <w:rPr>
          <w:rFonts w:hint="eastAsia" w:ascii="黑体" w:hAnsi="黑体" w:eastAsia="黑体" w:cs="黑体"/>
          <w:b/>
          <w:bCs/>
          <w:kern w:val="0"/>
          <w:sz w:val="44"/>
          <w:szCs w:val="44"/>
        </w:rPr>
        <w:t>报告</w:t>
      </w:r>
    </w:p>
    <w:p>
      <w:pPr>
        <w:widowControl/>
        <w:spacing w:line="560" w:lineRule="exact"/>
        <w:ind w:firstLine="640"/>
        <w:rPr>
          <w:rFonts w:hint="default" w:ascii="Times New Roman" w:hAnsi="Times New Roman" w:eastAsia="仿宋_GB2312" w:cs="Times New Roman"/>
          <w:color w:val="222222"/>
          <w:kern w:val="0"/>
          <w:sz w:val="32"/>
          <w:szCs w:val="32"/>
        </w:rPr>
      </w:pP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为强化财政支出资金管理，提高财政资金使用效益，根据《桃源县财政局关于明确2020年度县本级财政资金预算绩效管理目标任务的通知》（桃财发〔2020〕8号）预算绩效工作安排，我们对2018年度桃源县人民政府金融工作办公室部门整体支出进行了绩效自评，形成本报告。</w:t>
      </w:r>
    </w:p>
    <w:p>
      <w:pPr>
        <w:keepNext w:val="0"/>
        <w:keepLines w:val="0"/>
        <w:pageBreakBefore w:val="0"/>
        <w:widowControl/>
        <w:kinsoku/>
        <w:wordWrap/>
        <w:overflowPunct/>
        <w:topLinePunct w:val="0"/>
        <w:autoSpaceDE/>
        <w:autoSpaceDN/>
        <w:bidi w:val="0"/>
        <w:adjustRightInd/>
        <w:spacing w:line="540" w:lineRule="exact"/>
        <w:ind w:left="0" w:leftChars="0" w:right="0" w:rightChars="0" w:firstLine="640"/>
        <w:jc w:val="both"/>
        <w:textAlignment w:val="auto"/>
        <w:rPr>
          <w:rFonts w:hint="default" w:ascii="Times New Roman" w:hAnsi="Times New Roman" w:eastAsia="黑体" w:cs="Times New Roman"/>
          <w:color w:val="222222"/>
          <w:kern w:val="0"/>
          <w:sz w:val="32"/>
          <w:szCs w:val="32"/>
        </w:rPr>
      </w:pPr>
      <w:r>
        <w:rPr>
          <w:rFonts w:hint="default" w:ascii="Times New Roman" w:hAnsi="Times New Roman" w:eastAsia="黑体" w:cs="Times New Roman"/>
          <w:color w:val="222222"/>
          <w:kern w:val="0"/>
          <w:sz w:val="32"/>
          <w:szCs w:val="32"/>
        </w:rPr>
        <w:t>一、部门概况</w:t>
      </w:r>
    </w:p>
    <w:p>
      <w:pPr>
        <w:keepNext w:val="0"/>
        <w:keepLines w:val="0"/>
        <w:pageBreakBefore w:val="0"/>
        <w:widowControl/>
        <w:kinsoku/>
        <w:wordWrap/>
        <w:overflowPunct/>
        <w:topLinePunct w:val="0"/>
        <w:autoSpaceDE/>
        <w:autoSpaceDN/>
        <w:bidi w:val="0"/>
        <w:adjustRightInd/>
        <w:spacing w:line="540" w:lineRule="exact"/>
        <w:ind w:left="0" w:leftChars="0" w:right="0" w:rightChars="0" w:firstLine="640"/>
        <w:jc w:val="both"/>
        <w:textAlignment w:val="auto"/>
        <w:rPr>
          <w:rFonts w:hint="eastAsia" w:ascii="楷体_GB2312" w:hAnsi="楷体_GB2312" w:eastAsia="楷体_GB2312" w:cs="楷体_GB2312"/>
          <w:color w:val="222222"/>
          <w:kern w:val="0"/>
          <w:sz w:val="32"/>
          <w:szCs w:val="32"/>
        </w:rPr>
      </w:pPr>
      <w:r>
        <w:rPr>
          <w:rFonts w:hint="eastAsia" w:ascii="楷体_GB2312" w:hAnsi="楷体_GB2312" w:eastAsia="楷体_GB2312" w:cs="楷体_GB2312"/>
          <w:b/>
          <w:bCs/>
          <w:color w:val="222222"/>
          <w:kern w:val="0"/>
          <w:sz w:val="32"/>
          <w:szCs w:val="32"/>
        </w:rPr>
        <w:t>（一）机构、人员构成</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桃源县人民政府金融工作办公室（简称县金融办），根据县编委办核定，我办无内设科室（处室）和二级机构。</w:t>
      </w:r>
    </w:p>
    <w:p>
      <w:pPr>
        <w:keepNext w:val="0"/>
        <w:keepLines w:val="0"/>
        <w:pageBreakBefore w:val="0"/>
        <w:widowControl/>
        <w:kinsoku/>
        <w:wordWrap/>
        <w:overflowPunct/>
        <w:topLinePunct w:val="0"/>
        <w:autoSpaceDE/>
        <w:autoSpaceDN/>
        <w:bidi w:val="0"/>
        <w:adjustRightInd/>
        <w:spacing w:line="540" w:lineRule="exact"/>
        <w:ind w:left="0" w:leftChars="0" w:right="0" w:rightChars="0" w:firstLine="640"/>
        <w:jc w:val="both"/>
        <w:textAlignment w:val="auto"/>
        <w:rPr>
          <w:rFonts w:hint="eastAsia" w:ascii="楷体_GB2312" w:hAnsi="楷体_GB2312" w:eastAsia="楷体_GB2312" w:cs="楷体_GB2312"/>
          <w:b/>
          <w:bCs/>
          <w:color w:val="222222"/>
          <w:kern w:val="0"/>
          <w:sz w:val="32"/>
          <w:szCs w:val="32"/>
        </w:rPr>
      </w:pPr>
      <w:r>
        <w:rPr>
          <w:rFonts w:hint="eastAsia" w:ascii="楷体_GB2312" w:hAnsi="楷体_GB2312" w:eastAsia="楷体_GB2312" w:cs="楷体_GB2312"/>
          <w:b/>
          <w:bCs/>
          <w:color w:val="222222"/>
          <w:kern w:val="0"/>
          <w:sz w:val="32"/>
          <w:szCs w:val="32"/>
        </w:rPr>
        <w:t>（二）单位主要职责</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桃源县人民政府金融工作办公室的部门职责是贯彻执行中央、省、市有关金融工作的方针政策和法律法规，促进地方金融发展，维护地方金融稳定。负责拟订全县金融业发展战略、中长期规划；负责联系驻桃金融管理部门、各类金融机构，协助驻桃金融管理部门依法对金融机构进行监管；引导和鼓励金融机构加大对经济社会发展的支持力度并组织目标考核；做好防范化解和有效处置地方金融风险工作，会同有关部门处理地方金融市场的突发事件和重大事件。</w:t>
      </w:r>
    </w:p>
    <w:p>
      <w:pPr>
        <w:keepNext w:val="0"/>
        <w:keepLines w:val="0"/>
        <w:pageBreakBefore w:val="0"/>
        <w:widowControl/>
        <w:kinsoku/>
        <w:wordWrap/>
        <w:overflowPunct/>
        <w:topLinePunct w:val="0"/>
        <w:autoSpaceDE/>
        <w:autoSpaceDN/>
        <w:bidi w:val="0"/>
        <w:adjustRightInd/>
        <w:spacing w:line="540" w:lineRule="exact"/>
        <w:ind w:left="0" w:leftChars="0" w:right="0" w:rightChars="0" w:firstLine="640" w:firstLineChars="200"/>
        <w:jc w:val="both"/>
        <w:textAlignment w:val="auto"/>
        <w:rPr>
          <w:rFonts w:hint="default" w:ascii="Times New Roman" w:hAnsi="Times New Roman" w:eastAsia="黑体" w:cs="Times New Roman"/>
          <w:color w:val="222222"/>
          <w:kern w:val="0"/>
          <w:sz w:val="32"/>
          <w:szCs w:val="32"/>
        </w:rPr>
      </w:pPr>
      <w:r>
        <w:rPr>
          <w:rFonts w:hint="default" w:ascii="Times New Roman" w:hAnsi="Times New Roman" w:eastAsia="黑体" w:cs="Times New Roman"/>
          <w:color w:val="222222"/>
          <w:kern w:val="0"/>
          <w:sz w:val="32"/>
          <w:szCs w:val="32"/>
        </w:rPr>
        <w:t>二、部门财务情况</w:t>
      </w:r>
    </w:p>
    <w:p>
      <w:pPr>
        <w:keepNext w:val="0"/>
        <w:keepLines w:val="0"/>
        <w:pageBreakBefore w:val="0"/>
        <w:widowControl/>
        <w:kinsoku/>
        <w:wordWrap/>
        <w:overflowPunct/>
        <w:topLinePunct w:val="0"/>
        <w:autoSpaceDE/>
        <w:autoSpaceDN/>
        <w:bidi w:val="0"/>
        <w:adjustRightInd/>
        <w:spacing w:line="540" w:lineRule="exact"/>
        <w:ind w:left="0" w:leftChars="0" w:right="0" w:rightChars="0" w:firstLine="643" w:firstLineChars="200"/>
        <w:jc w:val="both"/>
        <w:textAlignment w:val="auto"/>
        <w:rPr>
          <w:rFonts w:hint="eastAsia" w:ascii="楷体_GB2312" w:hAnsi="楷体_GB2312" w:eastAsia="楷体_GB2312" w:cs="楷体_GB2312"/>
          <w:b/>
          <w:bCs/>
          <w:color w:val="222222"/>
          <w:kern w:val="0"/>
          <w:sz w:val="32"/>
          <w:szCs w:val="32"/>
        </w:rPr>
      </w:pPr>
      <w:r>
        <w:rPr>
          <w:rFonts w:hint="eastAsia" w:ascii="楷体_GB2312" w:hAnsi="楷体_GB2312" w:eastAsia="楷体_GB2312" w:cs="楷体_GB2312"/>
          <w:b/>
          <w:bCs/>
          <w:color w:val="222222"/>
          <w:kern w:val="0"/>
          <w:sz w:val="32"/>
          <w:szCs w:val="32"/>
        </w:rPr>
        <w:t>（一）部门整体支出情况</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2019年度公共预算财政拨款支出82.62万元，其中：</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1．公共预算财政拨款基本支出50.25万元，其中：人员经费支出40.91万元，日常公用经费支出9.34万元。</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2．公共预算财政拨款项目支出32.36万元，其中：行政事业类项目支出32.36万元，基本建设类项目支出0万元。</w:t>
      </w:r>
    </w:p>
    <w:p>
      <w:pPr>
        <w:keepNext w:val="0"/>
        <w:keepLines w:val="0"/>
        <w:pageBreakBefore w:val="0"/>
        <w:widowControl/>
        <w:numPr>
          <w:ilvl w:val="0"/>
          <w:numId w:val="0"/>
        </w:numPr>
        <w:kinsoku/>
        <w:wordWrap/>
        <w:overflowPunct/>
        <w:topLinePunct w:val="0"/>
        <w:autoSpaceDE/>
        <w:autoSpaceDN/>
        <w:bidi w:val="0"/>
        <w:adjustRightInd/>
        <w:spacing w:line="540" w:lineRule="exact"/>
        <w:ind w:left="0" w:leftChars="0" w:right="0" w:rightChars="0" w:firstLine="643" w:firstLineChars="200"/>
        <w:jc w:val="both"/>
        <w:textAlignment w:val="auto"/>
        <w:rPr>
          <w:rFonts w:hint="eastAsia" w:ascii="楷体_GB2312" w:hAnsi="楷体_GB2312" w:eastAsia="楷体_GB2312" w:cs="楷体_GB2312"/>
          <w:b/>
          <w:bCs/>
          <w:color w:val="222222"/>
          <w:kern w:val="0"/>
          <w:sz w:val="32"/>
          <w:szCs w:val="32"/>
        </w:rPr>
      </w:pPr>
      <w:r>
        <w:rPr>
          <w:rFonts w:hint="eastAsia" w:ascii="楷体_GB2312" w:hAnsi="楷体_GB2312" w:eastAsia="楷体_GB2312" w:cs="楷体_GB2312"/>
          <w:b/>
          <w:bCs/>
          <w:color w:val="222222"/>
          <w:kern w:val="0"/>
          <w:sz w:val="32"/>
          <w:szCs w:val="32"/>
        </w:rPr>
        <w:t>（</w:t>
      </w:r>
      <w:r>
        <w:rPr>
          <w:rFonts w:hint="eastAsia" w:ascii="楷体_GB2312" w:hAnsi="楷体_GB2312" w:eastAsia="楷体_GB2312" w:cs="楷体_GB2312"/>
          <w:b/>
          <w:bCs/>
          <w:color w:val="222222"/>
          <w:kern w:val="0"/>
          <w:sz w:val="32"/>
          <w:szCs w:val="32"/>
          <w:lang w:eastAsia="zh-CN"/>
        </w:rPr>
        <w:t>二</w:t>
      </w:r>
      <w:r>
        <w:rPr>
          <w:rFonts w:hint="eastAsia" w:ascii="楷体_GB2312" w:hAnsi="楷体_GB2312" w:eastAsia="楷体_GB2312" w:cs="楷体_GB2312"/>
          <w:b/>
          <w:bCs/>
          <w:color w:val="222222"/>
          <w:kern w:val="0"/>
          <w:sz w:val="32"/>
          <w:szCs w:val="32"/>
        </w:rPr>
        <w:t>）部门预算收支决算情况</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1．部门预算收支情况。2019年收入预算数143.08万元，其中公共预算财政拨款收入143.08万元，上级补助收入0万元，其他收入0万元。支出预算数143.08万元，其中工资福利支出36.3万元，商品和服务支出16.67万元，对个人和家庭的补助支出5.11万元，其他资本性支出3万元，专项商品和服务支出82万元。</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2．部门决算收支情况。2019年度收入决算数70.47万元。支出决算数82.62万元，其中工资福利支出40.91万元，商品和服务支出9.34万元，对个人和家庭的补助支出0万元，基本建设支出0万元，对企业补助19.1万元，其他资本性支出0万元。</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3．年初收支结转和年末收支结余情况。2019年度年初收支结转资金46.49万元，年末收支结余资金34.35万元。</w:t>
      </w:r>
    </w:p>
    <w:p>
      <w:pPr>
        <w:keepNext w:val="0"/>
        <w:keepLines w:val="0"/>
        <w:pageBreakBefore w:val="0"/>
        <w:widowControl/>
        <w:numPr>
          <w:ilvl w:val="0"/>
          <w:numId w:val="0"/>
        </w:numPr>
        <w:kinsoku/>
        <w:wordWrap/>
        <w:overflowPunct/>
        <w:topLinePunct w:val="0"/>
        <w:autoSpaceDE/>
        <w:autoSpaceDN/>
        <w:bidi w:val="0"/>
        <w:adjustRightInd/>
        <w:spacing w:line="540" w:lineRule="exact"/>
        <w:ind w:left="0" w:leftChars="0" w:right="0" w:rightChars="0" w:firstLine="643" w:firstLineChars="200"/>
        <w:jc w:val="both"/>
        <w:textAlignment w:val="auto"/>
        <w:rPr>
          <w:rFonts w:hint="eastAsia" w:ascii="楷体_GB2312" w:hAnsi="楷体_GB2312" w:eastAsia="楷体_GB2312" w:cs="楷体_GB2312"/>
          <w:b/>
          <w:bCs/>
          <w:color w:val="222222"/>
          <w:kern w:val="0"/>
          <w:sz w:val="32"/>
          <w:szCs w:val="32"/>
        </w:rPr>
      </w:pPr>
      <w:r>
        <w:rPr>
          <w:rFonts w:hint="eastAsia" w:ascii="楷体_GB2312" w:hAnsi="楷体_GB2312" w:eastAsia="楷体_GB2312" w:cs="楷体_GB2312"/>
          <w:b/>
          <w:bCs/>
          <w:color w:val="222222"/>
          <w:kern w:val="0"/>
          <w:sz w:val="32"/>
          <w:szCs w:val="32"/>
        </w:rPr>
        <w:t>（</w:t>
      </w:r>
      <w:r>
        <w:rPr>
          <w:rFonts w:hint="eastAsia" w:ascii="楷体_GB2312" w:hAnsi="楷体_GB2312" w:eastAsia="楷体_GB2312" w:cs="楷体_GB2312"/>
          <w:b/>
          <w:bCs/>
          <w:color w:val="222222"/>
          <w:kern w:val="0"/>
          <w:sz w:val="32"/>
          <w:szCs w:val="32"/>
          <w:lang w:eastAsia="zh-CN"/>
        </w:rPr>
        <w:t>三</w:t>
      </w:r>
      <w:r>
        <w:rPr>
          <w:rFonts w:hint="eastAsia" w:ascii="楷体_GB2312" w:hAnsi="楷体_GB2312" w:eastAsia="楷体_GB2312" w:cs="楷体_GB2312"/>
          <w:b/>
          <w:bCs/>
          <w:color w:val="222222"/>
          <w:kern w:val="0"/>
          <w:sz w:val="32"/>
          <w:szCs w:val="32"/>
        </w:rPr>
        <w:t>）“三公经费”支出使用和管理情况</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年度公共预算财政拨款“三公经费”支出</w:t>
      </w:r>
      <w:r>
        <w:rPr>
          <w:rFonts w:hint="eastAsia" w:ascii="仿宋" w:hAnsi="仿宋" w:eastAsia="仿宋" w:cs="仿宋"/>
          <w:sz w:val="32"/>
          <w:szCs w:val="32"/>
          <w:lang w:val="en-US" w:eastAsia="zh-CN"/>
        </w:rPr>
        <w:t>0.47</w:t>
      </w:r>
      <w:r>
        <w:rPr>
          <w:rFonts w:hint="eastAsia" w:ascii="仿宋" w:hAnsi="仿宋" w:eastAsia="仿宋" w:cs="仿宋"/>
          <w:sz w:val="32"/>
          <w:szCs w:val="32"/>
        </w:rPr>
        <w:t>万元，其中公务接待费</w:t>
      </w:r>
      <w:r>
        <w:rPr>
          <w:rFonts w:hint="eastAsia" w:ascii="仿宋" w:hAnsi="仿宋" w:eastAsia="仿宋" w:cs="仿宋"/>
          <w:sz w:val="32"/>
          <w:szCs w:val="32"/>
          <w:lang w:val="en-US" w:eastAsia="zh-CN"/>
        </w:rPr>
        <w:t>0.47</w:t>
      </w:r>
      <w:r>
        <w:rPr>
          <w:rFonts w:hint="eastAsia" w:ascii="仿宋" w:hAnsi="仿宋" w:eastAsia="仿宋" w:cs="仿宋"/>
          <w:sz w:val="32"/>
          <w:szCs w:val="32"/>
        </w:rPr>
        <w:t>万元。一直以来，我办严格按照公务接待管理规定执行，强化公务接待管理，“三公经费”较上年减少</w:t>
      </w:r>
      <w:r>
        <w:rPr>
          <w:rFonts w:hint="eastAsia" w:ascii="仿宋" w:hAnsi="仿宋" w:eastAsia="仿宋" w:cs="仿宋"/>
          <w:sz w:val="32"/>
          <w:szCs w:val="32"/>
          <w:lang w:val="en-US" w:eastAsia="zh-CN"/>
        </w:rPr>
        <w:t>0.43</w:t>
      </w:r>
      <w:r>
        <w:rPr>
          <w:rFonts w:hint="eastAsia" w:ascii="仿宋" w:hAnsi="仿宋" w:eastAsia="仿宋" w:cs="仿宋"/>
          <w:sz w:val="32"/>
          <w:szCs w:val="32"/>
        </w:rPr>
        <w:t>万元，其中公务接待费减少</w:t>
      </w:r>
      <w:r>
        <w:rPr>
          <w:rFonts w:hint="eastAsia" w:ascii="仿宋" w:hAnsi="仿宋" w:eastAsia="仿宋" w:cs="仿宋"/>
          <w:sz w:val="32"/>
          <w:szCs w:val="32"/>
          <w:lang w:val="en-US" w:eastAsia="zh-CN"/>
        </w:rPr>
        <w:t>0.43</w:t>
      </w:r>
      <w:r>
        <w:rPr>
          <w:rFonts w:hint="eastAsia" w:ascii="仿宋" w:hAnsi="仿宋" w:eastAsia="仿宋" w:cs="仿宋"/>
          <w:sz w:val="32"/>
          <w:szCs w:val="32"/>
        </w:rPr>
        <w:t>万元。</w:t>
      </w:r>
    </w:p>
    <w:p>
      <w:pPr>
        <w:keepNext w:val="0"/>
        <w:keepLines w:val="0"/>
        <w:pageBreakBefore w:val="0"/>
        <w:widowControl/>
        <w:kinsoku/>
        <w:wordWrap/>
        <w:overflowPunct/>
        <w:topLinePunct w:val="0"/>
        <w:autoSpaceDE/>
        <w:autoSpaceDN/>
        <w:bidi w:val="0"/>
        <w:adjustRightInd/>
        <w:spacing w:line="540" w:lineRule="exact"/>
        <w:ind w:left="0" w:leftChars="0" w:right="0" w:rightChars="0" w:firstLine="640"/>
        <w:jc w:val="both"/>
        <w:textAlignment w:val="auto"/>
        <w:rPr>
          <w:rFonts w:hint="default" w:ascii="Times New Roman" w:hAnsi="Times New Roman" w:eastAsia="黑体" w:cs="Times New Roman"/>
          <w:color w:val="222222"/>
          <w:kern w:val="0"/>
          <w:sz w:val="32"/>
          <w:szCs w:val="32"/>
        </w:rPr>
      </w:pPr>
      <w:r>
        <w:rPr>
          <w:rFonts w:hint="default" w:ascii="Times New Roman" w:hAnsi="Times New Roman" w:eastAsia="黑体" w:cs="Times New Roman"/>
          <w:color w:val="222222"/>
          <w:kern w:val="0"/>
          <w:sz w:val="32"/>
          <w:szCs w:val="32"/>
        </w:rPr>
        <w:t>三、部门绩效目标</w:t>
      </w:r>
    </w:p>
    <w:p>
      <w:pPr>
        <w:spacing w:line="600" w:lineRule="exact"/>
        <w:ind w:left="640"/>
        <w:rPr>
          <w:rFonts w:eastAsia="楷体"/>
          <w:b/>
          <w:sz w:val="32"/>
          <w:szCs w:val="32"/>
        </w:rPr>
      </w:pPr>
      <w:r>
        <w:rPr>
          <w:rFonts w:eastAsia="楷体"/>
          <w:b/>
          <w:sz w:val="32"/>
          <w:szCs w:val="32"/>
        </w:rPr>
        <w:t>（一）部门绩效总目标</w:t>
      </w:r>
    </w:p>
    <w:p>
      <w:pPr>
        <w:spacing w:line="600" w:lineRule="exact"/>
        <w:ind w:firstLine="640" w:firstLineChars="200"/>
        <w:rPr>
          <w:rFonts w:eastAsia="仿宋"/>
          <w:sz w:val="32"/>
          <w:szCs w:val="32"/>
        </w:rPr>
      </w:pPr>
      <w:r>
        <w:rPr>
          <w:rFonts w:hAnsi="仿宋" w:eastAsia="仿宋"/>
          <w:sz w:val="32"/>
          <w:szCs w:val="32"/>
        </w:rPr>
        <w:t>完成县委县政府下达的任务：</w:t>
      </w:r>
    </w:p>
    <w:p>
      <w:pPr>
        <w:ind w:firstLine="640" w:firstLineChars="200"/>
        <w:rPr>
          <w:rFonts w:hint="eastAsia" w:eastAsia="仿宋"/>
          <w:sz w:val="32"/>
          <w:szCs w:val="32"/>
        </w:rPr>
      </w:pPr>
      <w:r>
        <w:rPr>
          <w:rFonts w:hint="eastAsia" w:eastAsia="仿宋"/>
          <w:sz w:val="32"/>
          <w:szCs w:val="32"/>
        </w:rPr>
        <w:t>加大信贷资金投放规模；激发县域金融活力；促进金融健康协调发展；防范打击非法集资行动。</w:t>
      </w:r>
    </w:p>
    <w:p>
      <w:pPr>
        <w:spacing w:line="600" w:lineRule="exact"/>
        <w:ind w:left="640"/>
        <w:rPr>
          <w:rFonts w:eastAsia="楷体"/>
          <w:b/>
          <w:sz w:val="32"/>
          <w:szCs w:val="32"/>
        </w:rPr>
      </w:pPr>
      <w:r>
        <w:rPr>
          <w:rFonts w:eastAsia="楷体"/>
          <w:b/>
          <w:sz w:val="32"/>
          <w:szCs w:val="32"/>
        </w:rPr>
        <w:t>（二）年度部门绩效目标</w:t>
      </w:r>
    </w:p>
    <w:p>
      <w:pPr>
        <w:ind w:firstLine="640" w:firstLineChars="200"/>
        <w:rPr>
          <w:rFonts w:eastAsia="仿宋"/>
          <w:sz w:val="32"/>
          <w:szCs w:val="32"/>
        </w:rPr>
      </w:pPr>
      <w:r>
        <w:rPr>
          <w:rFonts w:hint="eastAsia" w:eastAsia="仿宋"/>
          <w:sz w:val="32"/>
          <w:szCs w:val="32"/>
        </w:rPr>
        <w:t>1、召开全县金融工作例会，督促推进县内各金融机构积极对接政策，认真执行全国金融会议关于金融支持实体经济发展的意见，争取信贷净投放持续增加。2、积极支持各商业银行在人口密集处及各乡镇增设立营业网点。3、引导和鼓励县内符合条件的企业开展直接融资，推动优质企业顺利实现“新三板”挂牌。4、加大落实完善各项打非工作力度，根据新的市场和变换多样的风险花样，建立全新的信息互享机制。5、完善和加强各行业的监测和排查制度。</w:t>
      </w:r>
    </w:p>
    <w:p>
      <w:pPr>
        <w:spacing w:line="600" w:lineRule="exact"/>
        <w:ind w:firstLine="640" w:firstLineChars="200"/>
        <w:rPr>
          <w:rFonts w:eastAsia="黑体"/>
          <w:sz w:val="32"/>
          <w:szCs w:val="32"/>
        </w:rPr>
      </w:pPr>
      <w:r>
        <w:rPr>
          <w:rFonts w:eastAsia="黑体"/>
          <w:sz w:val="32"/>
          <w:szCs w:val="32"/>
        </w:rPr>
        <w:t>四. 绩效评价工作情况</w:t>
      </w:r>
    </w:p>
    <w:p>
      <w:pPr>
        <w:spacing w:line="600" w:lineRule="exact"/>
        <w:ind w:firstLine="640" w:firstLineChars="200"/>
        <w:rPr>
          <w:rFonts w:eastAsia="仿宋"/>
          <w:sz w:val="32"/>
          <w:szCs w:val="32"/>
        </w:rPr>
      </w:pPr>
      <w:r>
        <w:rPr>
          <w:rFonts w:hAnsi="仿宋" w:eastAsia="仿宋"/>
          <w:sz w:val="32"/>
          <w:szCs w:val="32"/>
        </w:rPr>
        <w:t>在评价过程中，结合我单位实际情况，实施了包括听取情况介绍、收集资料、检查财务会计工作、窗口实地考察、发放窗口工作问卷调及与工作人员座谈等形式，进行了各项评价。</w:t>
      </w:r>
    </w:p>
    <w:p>
      <w:pPr>
        <w:spacing w:line="600" w:lineRule="exact"/>
        <w:ind w:firstLine="640" w:firstLineChars="200"/>
        <w:rPr>
          <w:rFonts w:eastAsia="黑体"/>
          <w:sz w:val="32"/>
          <w:szCs w:val="32"/>
        </w:rPr>
      </w:pPr>
      <w:r>
        <w:rPr>
          <w:rFonts w:eastAsia="黑体"/>
          <w:sz w:val="32"/>
          <w:szCs w:val="32"/>
        </w:rPr>
        <w:t>五. 综合评价结果</w:t>
      </w:r>
    </w:p>
    <w:p>
      <w:pPr>
        <w:spacing w:line="600" w:lineRule="exact"/>
        <w:ind w:firstLine="640" w:firstLineChars="200"/>
        <w:rPr>
          <w:rFonts w:eastAsia="仿宋"/>
          <w:sz w:val="32"/>
          <w:szCs w:val="32"/>
        </w:rPr>
      </w:pPr>
      <w:r>
        <w:rPr>
          <w:rFonts w:hAnsi="仿宋" w:eastAsia="仿宋"/>
          <w:sz w:val="32"/>
          <w:szCs w:val="32"/>
        </w:rPr>
        <w:t>经综合考评，</w:t>
      </w:r>
      <w:r>
        <w:rPr>
          <w:rFonts w:eastAsia="仿宋"/>
          <w:sz w:val="32"/>
          <w:szCs w:val="32"/>
        </w:rPr>
        <w:t>201</w:t>
      </w:r>
      <w:r>
        <w:rPr>
          <w:rFonts w:hint="eastAsia" w:eastAsia="仿宋"/>
          <w:sz w:val="32"/>
          <w:szCs w:val="32"/>
        </w:rPr>
        <w:t>9</w:t>
      </w:r>
      <w:r>
        <w:rPr>
          <w:rFonts w:hAnsi="仿宋" w:eastAsia="仿宋"/>
          <w:sz w:val="32"/>
          <w:szCs w:val="32"/>
        </w:rPr>
        <w:t>年桃源县人民政府金融工作办公室整体支出总体绩效评价</w:t>
      </w:r>
      <w:r>
        <w:rPr>
          <w:rFonts w:hint="eastAsia" w:hAnsi="仿宋" w:eastAsia="仿宋"/>
          <w:sz w:val="32"/>
          <w:szCs w:val="32"/>
        </w:rPr>
        <w:t>得分</w:t>
      </w:r>
      <w:r>
        <w:rPr>
          <w:rFonts w:eastAsia="仿宋"/>
          <w:sz w:val="32"/>
          <w:szCs w:val="32"/>
        </w:rPr>
        <w:t>9</w:t>
      </w:r>
      <w:r>
        <w:rPr>
          <w:rFonts w:hint="eastAsia" w:eastAsia="仿宋"/>
          <w:sz w:val="32"/>
          <w:szCs w:val="32"/>
          <w:lang w:val="en-US" w:eastAsia="zh-CN"/>
        </w:rPr>
        <w:t>4</w:t>
      </w:r>
      <w:r>
        <w:rPr>
          <w:rFonts w:hAnsi="仿宋" w:eastAsia="仿宋"/>
          <w:sz w:val="32"/>
          <w:szCs w:val="32"/>
        </w:rPr>
        <w:t>分，评价等级为</w:t>
      </w:r>
      <w:r>
        <w:rPr>
          <w:rFonts w:hint="eastAsia" w:hAnsi="仿宋" w:eastAsia="仿宋"/>
          <w:sz w:val="32"/>
          <w:szCs w:val="32"/>
        </w:rPr>
        <w:t>：“</w:t>
      </w:r>
      <w:r>
        <w:rPr>
          <w:rFonts w:hAnsi="仿宋" w:eastAsia="仿宋"/>
          <w:sz w:val="32"/>
          <w:szCs w:val="32"/>
        </w:rPr>
        <w:t>优”。</w:t>
      </w:r>
    </w:p>
    <w:p>
      <w:pPr>
        <w:spacing w:line="600" w:lineRule="exact"/>
        <w:ind w:left="640"/>
        <w:rPr>
          <w:rFonts w:eastAsia="黑体"/>
          <w:sz w:val="32"/>
          <w:szCs w:val="32"/>
        </w:rPr>
      </w:pPr>
      <w:r>
        <w:rPr>
          <w:rFonts w:eastAsia="黑体"/>
          <w:sz w:val="32"/>
          <w:szCs w:val="32"/>
        </w:rPr>
        <w:t>六. 部门整体支出绩效情况</w:t>
      </w:r>
    </w:p>
    <w:p>
      <w:pPr>
        <w:topLinePunct/>
        <w:spacing w:line="600" w:lineRule="exact"/>
        <w:ind w:firstLine="640" w:firstLineChars="200"/>
        <w:rPr>
          <w:rFonts w:eastAsia="仿宋_GB2312"/>
          <w:sz w:val="32"/>
          <w:szCs w:val="32"/>
        </w:rPr>
      </w:pPr>
      <w:r>
        <w:rPr>
          <w:rFonts w:eastAsia="仿宋_GB2312"/>
          <w:sz w:val="32"/>
          <w:szCs w:val="32"/>
        </w:rPr>
        <w:t>2019年底，全县存款余额380.78亿元，增长7.19%，全市排名第二；贷款余额209.73亿元，增长27.37%，全市排名第一。存贷比为55.07%，提升9.23个百分点。2019年县内11家银行累计上缴税收1.06亿元，保险累计上缴税收2354万元，其中农商行纳税额全县第一。各类保费收入达5.44亿元，增长7.53%，各类赔付支出达3.4亿元，下降13.15%。县内融资担保机构累计为县内中小企业提供担保189笔、担保金额5.4亿元。</w:t>
      </w:r>
    </w:p>
    <w:p>
      <w:pPr>
        <w:topLinePunct/>
        <w:spacing w:line="600" w:lineRule="exact"/>
        <w:ind w:firstLine="643" w:firstLineChars="200"/>
        <w:rPr>
          <w:rFonts w:eastAsia="仿宋_GB2312"/>
          <w:kern w:val="0"/>
          <w:sz w:val="32"/>
          <w:szCs w:val="32"/>
        </w:rPr>
      </w:pPr>
      <w:r>
        <w:rPr>
          <w:rFonts w:eastAsia="仿宋_GB2312"/>
          <w:b/>
          <w:kern w:val="0"/>
          <w:sz w:val="32"/>
          <w:szCs w:val="32"/>
        </w:rPr>
        <w:t>1</w:t>
      </w:r>
      <w:r>
        <w:rPr>
          <w:rFonts w:eastAsia="仿宋_GB2312"/>
          <w:kern w:val="0"/>
          <w:sz w:val="32"/>
          <w:szCs w:val="32"/>
        </w:rPr>
        <w:t>.</w:t>
      </w:r>
      <w:r>
        <w:rPr>
          <w:rFonts w:eastAsia="楷体"/>
          <w:b/>
          <w:sz w:val="32"/>
          <w:szCs w:val="32"/>
        </w:rPr>
        <w:t>努力创新金融服务。</w:t>
      </w:r>
      <w:r>
        <w:rPr>
          <w:rFonts w:eastAsia="仿宋_GB2312"/>
          <w:b/>
          <w:sz w:val="32"/>
          <w:szCs w:val="32"/>
        </w:rPr>
        <w:t>一是普惠金融不断加强</w:t>
      </w:r>
      <w:r>
        <w:rPr>
          <w:rFonts w:eastAsia="仿宋_GB2312"/>
          <w:sz w:val="32"/>
          <w:szCs w:val="32"/>
        </w:rPr>
        <w:t>。出台了《关于金融与特色产业精准扶贫金融支持对接工作实施方案》，小额扶贫贷款余额9100万元，受益的建档立卡贫困户10179个。</w:t>
      </w:r>
      <w:r>
        <w:rPr>
          <w:rFonts w:eastAsia="仿宋_GB2312"/>
          <w:b/>
          <w:sz w:val="32"/>
          <w:szCs w:val="32"/>
        </w:rPr>
        <w:t>二是金融服务不断优化</w:t>
      </w:r>
      <w:r>
        <w:rPr>
          <w:rFonts w:eastAsia="仿宋_GB2312"/>
          <w:sz w:val="32"/>
          <w:szCs w:val="32"/>
        </w:rPr>
        <w:t>。农业银行桃源支行开展惠农通工程转型升级工程，全县512个助农服务点，覆盖率和有效率均为100%，同时升级了192台智能机具。</w:t>
      </w:r>
      <w:r>
        <w:rPr>
          <w:rFonts w:eastAsia="仿宋"/>
          <w:sz w:val="32"/>
          <w:szCs w:val="32"/>
        </w:rPr>
        <w:t>农业发展银行桃源支行主动对接政策，全力县内基础设施建设，全年发放项目贷款25.2亿元</w:t>
      </w:r>
      <w:r>
        <w:rPr>
          <w:rFonts w:eastAsia="仿宋_GB2312"/>
          <w:sz w:val="32"/>
          <w:szCs w:val="32"/>
        </w:rPr>
        <w:t>。</w:t>
      </w:r>
      <w:r>
        <w:rPr>
          <w:rFonts w:eastAsia="仿宋_GB2312"/>
          <w:b/>
          <w:sz w:val="32"/>
          <w:szCs w:val="32"/>
        </w:rPr>
        <w:t>三是</w:t>
      </w:r>
      <w:r>
        <w:rPr>
          <w:rFonts w:eastAsia="仿宋_GB2312"/>
          <w:b/>
          <w:kern w:val="0"/>
          <w:sz w:val="32"/>
          <w:szCs w:val="32"/>
        </w:rPr>
        <w:t>金融产品</w:t>
      </w:r>
      <w:r>
        <w:rPr>
          <w:rFonts w:eastAsia="仿宋_GB2312"/>
          <w:b/>
          <w:sz w:val="32"/>
          <w:szCs w:val="32"/>
        </w:rPr>
        <w:t>不断完善</w:t>
      </w:r>
      <w:r>
        <w:rPr>
          <w:rFonts w:eastAsia="仿宋_GB2312"/>
          <w:kern w:val="0"/>
          <w:sz w:val="32"/>
          <w:szCs w:val="32"/>
        </w:rPr>
        <w:t>。邮储银行桃源支行大力发放创业贴息贷款，全年共发放贴</w:t>
      </w:r>
      <w:r>
        <w:rPr>
          <w:rFonts w:eastAsia="仿宋_GB2312"/>
          <w:sz w:val="32"/>
          <w:szCs w:val="32"/>
        </w:rPr>
        <w:t>息贷款120笔，2758万元；</w:t>
      </w:r>
      <w:r>
        <w:rPr>
          <w:rFonts w:eastAsia="仿宋_GB2312"/>
          <w:kern w:val="0"/>
          <w:sz w:val="32"/>
          <w:szCs w:val="32"/>
        </w:rPr>
        <w:t>人寿保险公司积极推广小额人身保险，全年受理小额保险和老年人保险案件近3000件，理赔金额300多万元。</w:t>
      </w:r>
    </w:p>
    <w:p>
      <w:pPr>
        <w:topLinePunct/>
        <w:spacing w:line="600" w:lineRule="exact"/>
        <w:ind w:firstLine="643" w:firstLineChars="200"/>
        <w:rPr>
          <w:rFonts w:eastAsia="仿宋"/>
          <w:sz w:val="32"/>
          <w:szCs w:val="32"/>
        </w:rPr>
      </w:pPr>
      <w:r>
        <w:rPr>
          <w:rFonts w:eastAsia="楷体"/>
          <w:b/>
          <w:sz w:val="32"/>
          <w:szCs w:val="32"/>
        </w:rPr>
        <w:t>2.</w:t>
      </w:r>
      <w:r>
        <w:rPr>
          <w:rFonts w:eastAsia="楷体"/>
          <w:b/>
          <w:kern w:val="0"/>
          <w:sz w:val="32"/>
          <w:szCs w:val="32"/>
        </w:rPr>
        <w:t>大力支持实体经济</w:t>
      </w:r>
      <w:r>
        <w:rPr>
          <w:rFonts w:eastAsia="仿宋_GB2312"/>
          <w:sz w:val="32"/>
          <w:szCs w:val="32"/>
        </w:rPr>
        <w:t>。</w:t>
      </w:r>
      <w:r>
        <w:rPr>
          <w:rFonts w:eastAsia="仿宋_GB2312"/>
          <w:b/>
          <w:sz w:val="32"/>
          <w:szCs w:val="32"/>
        </w:rPr>
        <w:t>一是落实金融政策</w:t>
      </w:r>
      <w:r>
        <w:rPr>
          <w:rFonts w:eastAsia="仿宋_GB2312"/>
          <w:sz w:val="32"/>
          <w:szCs w:val="32"/>
        </w:rPr>
        <w:t>。人民银行桃源支行活用金融政策，下调农商行存款准备金率3个百分点，释放可贷资金3亿元支持地方经济发展；</w:t>
      </w:r>
      <w:r>
        <w:rPr>
          <w:rFonts w:eastAsia="仿宋_GB2312"/>
          <w:b/>
          <w:sz w:val="32"/>
          <w:szCs w:val="32"/>
        </w:rPr>
        <w:t>二是开展银企对接</w:t>
      </w:r>
      <w:r>
        <w:rPr>
          <w:rFonts w:eastAsia="仿宋_GB2312"/>
          <w:sz w:val="32"/>
          <w:szCs w:val="32"/>
        </w:rPr>
        <w:t>。年初10家金融机构对县内部分国有公司、园区企业、民营企业的30个项目进行授信，总金额达37.2亿元。推进银行行长结对服务中小企业专项行动，全县10家银行30位正、副行长全年走访企业200余次，累计投放贷款13.2亿元。</w:t>
      </w:r>
      <w:r>
        <w:rPr>
          <w:rFonts w:eastAsia="仿宋_GB2312"/>
          <w:b/>
          <w:sz w:val="32"/>
          <w:szCs w:val="32"/>
        </w:rPr>
        <w:t>三是鼓励资本运作</w:t>
      </w:r>
      <w:r>
        <w:rPr>
          <w:rFonts w:eastAsia="仿宋_GB2312"/>
          <w:sz w:val="32"/>
          <w:szCs w:val="32"/>
        </w:rPr>
        <w:t>。</w:t>
      </w:r>
      <w:r>
        <w:rPr>
          <w:rFonts w:eastAsia="仿宋"/>
          <w:sz w:val="32"/>
          <w:szCs w:val="32"/>
        </w:rPr>
        <w:t>2019年湘春景源成功在湖南股交所挂牌。帮助博邦农林、定海管桩、磊鑫新科技、康多利油脂、古洞春茶业、飞沃新能源、三特机械7家企业进入省级上市企业后备资源库。</w:t>
      </w:r>
    </w:p>
    <w:p>
      <w:pPr>
        <w:topLinePunct/>
        <w:spacing w:line="600" w:lineRule="exact"/>
        <w:ind w:firstLine="643" w:firstLineChars="200"/>
        <w:rPr>
          <w:rFonts w:hint="default" w:eastAsia="仿宋_GB2312"/>
          <w:sz w:val="32"/>
          <w:szCs w:val="32"/>
          <w:lang w:val="en-US" w:eastAsia="zh-CN"/>
        </w:rPr>
      </w:pPr>
      <w:r>
        <w:rPr>
          <w:rFonts w:eastAsia="楷体"/>
          <w:b/>
          <w:sz w:val="32"/>
          <w:szCs w:val="32"/>
        </w:rPr>
        <w:t>3.切实防范金融风险。</w:t>
      </w:r>
      <w:r>
        <w:rPr>
          <w:rFonts w:eastAsia="仿宋_GB2312"/>
          <w:b/>
          <w:sz w:val="32"/>
          <w:szCs w:val="32"/>
        </w:rPr>
        <w:t>一是打非宣传常态化</w:t>
      </w:r>
      <w:r>
        <w:rPr>
          <w:rFonts w:eastAsia="仿宋_GB2312"/>
          <w:sz w:val="32"/>
          <w:szCs w:val="32"/>
        </w:rPr>
        <w:t>。组织开展了大型的打非宣传月活动，防范金融领域违法犯罪知识宣传活动，“8.19”众创平安防范非法集资宣传活动和日常的重点领域宣传活动等。通过户外广告、电视媒体广告、公交车广告、电影院、微信朋友圈、手机报、宣传单（册）、宣传标语等方式，全方位、多角度宣传防范非法集资知识，群众知晓率较高。</w:t>
      </w:r>
      <w:r>
        <w:rPr>
          <w:rFonts w:eastAsia="仿宋_GB2312"/>
          <w:b/>
          <w:sz w:val="32"/>
          <w:szCs w:val="32"/>
        </w:rPr>
        <w:t>二是清理行动精细化</w:t>
      </w:r>
      <w:r>
        <w:rPr>
          <w:rFonts w:eastAsia="仿宋_GB2312"/>
          <w:sz w:val="32"/>
          <w:szCs w:val="32"/>
        </w:rPr>
        <w:t>。开展了防范和打击非法集资、防范和打击“三贷”、清理整顿金融领域违法犯罪、涉众型经济领域、养老领域、寄卖行业、金融领域扫黑除恶、投融资中介公司、工商企业发布涉嫌非法集资广告资讯信息等领域的排查清理，摸清了各行业的风险底数，各类风险隐患清理整改基本到位。</w:t>
      </w:r>
      <w:r>
        <w:rPr>
          <w:rFonts w:eastAsia="仿宋_GB2312"/>
          <w:b/>
          <w:sz w:val="32"/>
          <w:szCs w:val="32"/>
        </w:rPr>
        <w:t>三是案件办理快速化</w:t>
      </w:r>
      <w:r>
        <w:rPr>
          <w:rFonts w:eastAsia="仿宋_GB2312"/>
          <w:sz w:val="32"/>
          <w:szCs w:val="32"/>
        </w:rPr>
        <w:t>。对于我县发生的两起非法集资案件（金宇投资公司、亿仕康公司）县委县政府主要领导高度重视、反应迅速，多次专题研究调度，各相关部门认真履职，通力合作，畅通信访渠道，加快案件侦办，尽最大努力保护投资受损者的利益，切实维护全县社会大局</w:t>
      </w:r>
      <w:r>
        <w:rPr>
          <w:rFonts w:hint="eastAsia" w:eastAsia="仿宋_GB2312"/>
          <w:sz w:val="32"/>
          <w:szCs w:val="32"/>
          <w:lang w:eastAsia="zh-CN"/>
        </w:rPr>
        <w:t>稳定</w:t>
      </w:r>
      <w:r>
        <w:rPr>
          <w:rFonts w:eastAsia="仿宋_GB2312"/>
          <w:sz w:val="32"/>
          <w:szCs w:val="32"/>
        </w:rPr>
        <w:t>。</w:t>
      </w:r>
      <w:bookmarkStart w:id="0" w:name="_GoBack"/>
      <w:bookmarkEnd w:id="0"/>
    </w:p>
    <w:p>
      <w:pPr>
        <w:pStyle w:val="3"/>
        <w:keepNext w:val="0"/>
        <w:keepLines w:val="0"/>
        <w:widowControl/>
        <w:suppressLineNumbers w:val="0"/>
        <w:spacing w:before="0" w:beforeAutospacing="0" w:after="300" w:afterAutospacing="0" w:line="600" w:lineRule="atLeast"/>
        <w:ind w:left="0" w:right="0" w:firstLine="645"/>
        <w:rPr>
          <w:rFonts w:ascii="sans-serif" w:hAnsi="sans-serif" w:eastAsia="sans-serif" w:cs="sans-serif"/>
          <w:i w:val="0"/>
          <w:caps w:val="0"/>
          <w:color w:val="000000"/>
          <w:spacing w:val="0"/>
          <w:sz w:val="24"/>
          <w:szCs w:val="24"/>
        </w:rPr>
      </w:pPr>
      <w:r>
        <w:rPr>
          <w:rFonts w:ascii="仿宋" w:hAnsi="仿宋" w:eastAsia="仿宋" w:cs="仿宋"/>
          <w:i w:val="0"/>
          <w:caps w:val="0"/>
          <w:color w:val="000000"/>
          <w:spacing w:val="0"/>
          <w:sz w:val="31"/>
          <w:szCs w:val="31"/>
        </w:rPr>
        <w:t>附表</w:t>
      </w:r>
      <w:r>
        <w:rPr>
          <w:rFonts w:hint="eastAsia" w:ascii="仿宋" w:hAnsi="仿宋" w:eastAsia="仿宋" w:cs="仿宋"/>
          <w:i w:val="0"/>
          <w:caps w:val="0"/>
          <w:color w:val="000000"/>
          <w:spacing w:val="0"/>
          <w:sz w:val="31"/>
          <w:szCs w:val="31"/>
        </w:rPr>
        <w:t>1：部门整体支出绩效评价指标表</w:t>
      </w:r>
    </w:p>
    <w:p>
      <w:pPr>
        <w:pStyle w:val="3"/>
        <w:keepNext w:val="0"/>
        <w:keepLines w:val="0"/>
        <w:widowControl/>
        <w:suppressLineNumbers w:val="0"/>
        <w:spacing w:before="0" w:beforeAutospacing="0" w:after="300" w:afterAutospacing="0" w:line="600" w:lineRule="atLeast"/>
        <w:ind w:left="0" w:right="0" w:firstLine="645"/>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31"/>
          <w:szCs w:val="31"/>
        </w:rPr>
        <w:t>附表2：部门整体支出绩效评价基础数据表</w:t>
      </w:r>
    </w:p>
    <w:p>
      <w:pPr>
        <w:topLinePunct/>
        <w:spacing w:line="600" w:lineRule="exact"/>
        <w:ind w:firstLine="640" w:firstLineChars="200"/>
        <w:rPr>
          <w:rFonts w:eastAsia="仿宋_GB2312"/>
          <w:sz w:val="32"/>
          <w:szCs w:val="32"/>
        </w:rPr>
      </w:pPr>
    </w:p>
    <w:p>
      <w:pPr>
        <w:topLinePunct/>
        <w:spacing w:line="600" w:lineRule="exact"/>
        <w:ind w:firstLine="640" w:firstLineChars="200"/>
        <w:rPr>
          <w:rFonts w:eastAsia="仿宋_GB2312"/>
          <w:sz w:val="32"/>
          <w:szCs w:val="32"/>
        </w:rPr>
      </w:pPr>
    </w:p>
    <w:tbl>
      <w:tblPr>
        <w:tblStyle w:val="4"/>
        <w:tblpPr w:leftFromText="180" w:rightFromText="180" w:vertAnchor="text" w:horzAnchor="page" w:tblpXSpec="center" w:tblpY="-58"/>
        <w:tblOverlap w:val="never"/>
        <w:tblW w:w="9620" w:type="dxa"/>
        <w:jc w:val="center"/>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
      <w:tblGrid>
        <w:gridCol w:w="561"/>
        <w:gridCol w:w="585"/>
        <w:gridCol w:w="652"/>
        <w:gridCol w:w="365"/>
        <w:gridCol w:w="3373"/>
        <w:gridCol w:w="3237"/>
        <w:gridCol w:w="847"/>
      </w:tblGrid>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58" w:hRule="atLeast"/>
          <w:tblHeader/>
          <w:jc w:val="center"/>
        </w:trPr>
        <w:tc>
          <w:tcPr>
            <w:tcW w:w="9620" w:type="dxa"/>
            <w:gridSpan w:val="7"/>
            <w:tcBorders>
              <w:bottom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kern w:val="0"/>
                <w:sz w:val="36"/>
                <w:szCs w:val="36"/>
              </w:rPr>
              <w:t>部门整体支出绩效评价指标表</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58" w:hRule="atLeast"/>
          <w:tblHeader/>
          <w:jc w:val="center"/>
        </w:trPr>
        <w:tc>
          <w:tcPr>
            <w:tcW w:w="561"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一级</w:t>
            </w:r>
            <w:r>
              <w:rPr>
                <w:rFonts w:hint="eastAsia" w:ascii="仿宋" w:hAnsi="仿宋" w:eastAsia="仿宋" w:cs="仿宋"/>
                <w:b w:val="0"/>
                <w:bCs/>
                <w:i w:val="0"/>
                <w:color w:val="000000"/>
                <w:kern w:val="0"/>
                <w:sz w:val="24"/>
                <w:szCs w:val="24"/>
                <w:u w:val="none"/>
                <w:lang w:val="en-US" w:eastAsia="zh-CN" w:bidi="ar"/>
              </w:rPr>
              <w:br w:type="textWrapping"/>
            </w:r>
            <w:r>
              <w:rPr>
                <w:rFonts w:hint="eastAsia" w:ascii="仿宋" w:hAnsi="仿宋" w:eastAsia="仿宋" w:cs="仿宋"/>
                <w:b w:val="0"/>
                <w:bCs/>
                <w:i w:val="0"/>
                <w:color w:val="000000"/>
                <w:kern w:val="0"/>
                <w:sz w:val="24"/>
                <w:szCs w:val="24"/>
                <w:u w:val="none"/>
                <w:lang w:val="en-US" w:eastAsia="zh-CN" w:bidi="ar"/>
              </w:rPr>
              <w:t>指标</w:t>
            </w:r>
          </w:p>
        </w:tc>
        <w:tc>
          <w:tcPr>
            <w:tcW w:w="58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二级</w:t>
            </w:r>
            <w:r>
              <w:rPr>
                <w:rFonts w:hint="eastAsia" w:ascii="仿宋" w:hAnsi="仿宋" w:eastAsia="仿宋" w:cs="仿宋"/>
                <w:b w:val="0"/>
                <w:bCs/>
                <w:i w:val="0"/>
                <w:color w:val="000000"/>
                <w:kern w:val="0"/>
                <w:sz w:val="24"/>
                <w:szCs w:val="24"/>
                <w:u w:val="none"/>
                <w:lang w:val="en-US" w:eastAsia="zh-CN" w:bidi="ar"/>
              </w:rPr>
              <w:br w:type="textWrapping"/>
            </w:r>
            <w:r>
              <w:rPr>
                <w:rFonts w:hint="eastAsia" w:ascii="仿宋" w:hAnsi="仿宋" w:eastAsia="仿宋" w:cs="仿宋"/>
                <w:b w:val="0"/>
                <w:bCs/>
                <w:i w:val="0"/>
                <w:color w:val="000000"/>
                <w:kern w:val="0"/>
                <w:sz w:val="24"/>
                <w:szCs w:val="24"/>
                <w:u w:val="none"/>
                <w:lang w:val="en-US" w:eastAsia="zh-CN" w:bidi="ar"/>
              </w:rPr>
              <w:t>指标</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指标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分值</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指标解释</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评分标准</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自评</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得分</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投   入</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目标</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设定</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绩效目标合理性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部门（单位）所设立的整体绩效目标依据是否充分，是否符合客观实际，用以反映和考核部门（单位）整体绩效目标与部门履职、年度工作任务的相符性情况。</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①符合国家法律法规、国民经济和社会发展总体规划，得1分；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②符合部门职责，得1分；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③符合部门制定的中长期实施规划，得3分。</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20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绩效指标明确性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部门（单位）依据整体绩效目标所设定的绩效指标是否清晰、细化、可衡量，用以反映和考核部门（单位）整体绩效目标的明细化情况。</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①将部门整体的绩效目标细化分解为具体的工作任务，得1分；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②通过清晰、可衡量的指标值予以体现，得2分；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③与部门年度的任务数或计划数相对应，得2分；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④与本年度部门预算资金相匹配，得2分。</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73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i w:val="0"/>
                <w:color w:val="000000"/>
                <w:sz w:val="24"/>
                <w:szCs w:val="24"/>
                <w:u w:val="none"/>
              </w:rPr>
            </w:pP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预算</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配置</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在职人员控制率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在职人员控制率=（在职人员数/编制数）×100%。</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在职人员数：部门（单位）实际在职人数，以财政部门确定的部门决算编制口径为准。扣掉编制部门和劳动部门批复同意的临聘人员。</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编制数：机构编制部门核定批复的部门（单位）的人员编制数。</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在职人员控制率≤100%，得3分；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每超过一个百分点扣0.5分，扣完为止。</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09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“三公经费”变动率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“三公经费”变动率=[（本年度“三公经费”预算数-上年度“三公经费”预算数）/上年度“三公经费”预算数]×100%。</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“三公经费”：年度预算安排的因公出国（境）费、公务车辆购置及运行费和公务招待费。</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“三公经费”变动率≤0，得5分；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每超过一个百分点扣0.5分，扣完为止。</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875"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重点支出安排率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重点支出安排率=（重点项目支出/项目总支出）×100%。</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重点项目支出：部门（单位）年度预算安排的，与本部门履职和发展密切相关、具有明显社会和经济影响、党委政府关心或社会比较关注的项目支出总额。</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项目总支出：部门（单位）年度预算安排的项目支出总额。</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重点支出安排率≥90%，得5分；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80%（含）-90%，得4分；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70%（含）-80%，得3分；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60%（含）-70%，得2分；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＜60%，得0分。</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60"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过   程</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预算</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执行</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预算完成率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预算完成率=（上年结转+年初预算+本年追加-年末结余）/（上年结转+年初预算+本年追加）×100%。</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预算完成率≥95%，得4分；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每降低5%，扣1分，扣完为止。</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预算调整率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预算调整率=（本年追加预算/年初预算）×100%。</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本年追加预算：部门（单位）在本年度内涉及预算的追加资金总和（因落实国家政策、发生不可抗力、上级部门或本级党委政府临时交办而产生的调整除外）。</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预算调整率≤5%，得2分；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5%-10%（含），得1.5分；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10%-15%（含），得1分；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15%-20%（含），得0.5分；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＞20%，得0分。</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2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新建楼堂馆所面积控制率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楼堂馆所面积控制率=实际建设面积/批准建设面积×100%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该指标以20××年完工的新建楼堂馆所为评价内容。</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楼堂馆所面积控制率≤100%，得2分；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每超出5%扣1分，扣完为止。</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没有楼梯馆所项目的部门剔除此项指标。</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309"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新建楼堂馆所投资概算控制率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楼堂馆所投资预算控制率=实际投资金额/批准投资金额×100% 。</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该指标以2018年完工的新建楼堂馆所为评价内容。</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楼堂馆所面积控制率≤100%，得2分；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每超出5%扣1分，扣完为止。</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没有楼梯馆所项目的部门剔除此项指标。</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91"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公用经费控制率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公用经费控制率=（实际支出公用经费总额/预算安排公用经费总额）×100%。</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公用经费控制率≤100%，得2分；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每超过5%，扣1分，扣完为止。</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7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“三公经费”控制率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“三公经费”控制率=（“三公经费”实际支出数/“三公经费”预算安排数）×100%。</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“三公经费”控制率≤100%，得2分；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每超过5%，扣1分，扣完为止。</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52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政府采购执行率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政府采购执行率=（实际政府采购金额/政府采购预算数）×100%；</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政府采购预算：采购机关根据事业发展计划和行政任务编制的、并经过规定程序批准的年度政府采购计划。 </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政府采购执行率=100%，得2分；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每超过（降低）5%，扣1分，扣完为止。</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1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预算</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管理</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管理制度健全性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①是否已制定或具有预算资金管理办法、内部财务管理制度、会计核算制度、本部门厉行节约制度等管理制度；</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②相关管理制度是否合法、合规、完整；</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③相关管理制度是否得到有效执行。</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每发现一类不合规问题，扣1分，扣完为止。</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6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资金使用合规性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①是否符合国家财经法规和财务管理制度规定以及有关专项资金管理办法的规定；</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②资金的拨付是否有完整的审批程序和手续；</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③项目的重大开支是否经过评估论证；</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④是否符合部门预算批复的用途；</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⑤是否存在截留、挤占、挪用、虚列支出等情况。</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每发现一类不合规问题，扣1分，扣完为止。</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243"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预决算信息公开性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①是否按规定内容、规定时限公开预决算信息；</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②基础数据信息和会计信息资料是否真实、完整、准确。预决算信息是指与部门预算、执行、决算、监督、绩效等管理相关的信息。</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①按规定内容、规定时限公开预决算信息，得1分；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②基础数据信息和会计信息资料真实、完整、准确，得1分。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每发现一类不合规问题，扣1分，扣完为止。</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2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资产</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管理</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管理制度健全性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是否已制定或具有资产管理制度；相关资金管理制度是否合法、合规、完整；相关资产管理制度是否得到有效执行。</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①已制定或具有资产管理制度，相关资金管理制度合法、合规、完整。得0.5分；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②相关资产管理制度得到有效执行，得0.5分。</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46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资产管理安全性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资产是否保存完整、使用合规、配置合理、处置规范、收入及时足额上缴。</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①资产保存完整、配置合理、处置规范，得0.5分；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②资产账务管理合规，帐实相符，得0.5分；</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261"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固定资产利用率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实际在用固定资产总额与所有固定资产总额的比率，用以反映和考核部门（单位）固定资产使用效率程度。</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固定资产利用率=（实际在用固定资产总额/所有固定资产总额）×100%。</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固定资产利用率=100%，得1分；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每低于1%，扣0.1分，扣完为止。</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产   出</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职责</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履行</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个性化指标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从实际完成率、完成及时率、质量达标率等方面设置</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eastAsia" w:ascii="仿宋" w:hAnsi="仿宋" w:eastAsia="仿宋" w:cs="仿宋"/>
                <w:i w:val="0"/>
                <w:color w:val="000000"/>
                <w:sz w:val="24"/>
                <w:szCs w:val="24"/>
                <w:u w:val="none"/>
              </w:rPr>
            </w:pP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17</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重点工作办结率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部门（单位）年度重点工作实际完成数与交办或下达数的比率，用以反映部门（单位）对重点工作的办理落实程度。</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重点工作办结率=（重点工作实际完成数/交办或下达数）×100%。</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重点工作是指党委、政府、人大、相关部门交办或下达的工作任务。</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817"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效   果</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履职</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效益</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经济效益</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部门（单位）履行职责对经济发展所带来的直接或间接影响。</w:t>
            </w:r>
          </w:p>
        </w:tc>
        <w:tc>
          <w:tcPr>
            <w:tcW w:w="3237"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此三项指标为设置部门整体支出绩效评价指标时必须考虑的共性要素，可根据部门实际并结合部门整体支出绩效目标设立情况有选择的进行设置，并将其细化为相应的个性化指标。</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43"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社会效益</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部门（单位）履行职责对社会发展所带来的直接或间接影响。</w:t>
            </w:r>
          </w:p>
        </w:tc>
        <w:tc>
          <w:tcPr>
            <w:tcW w:w="3237"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jc w:val="left"/>
              <w:rPr>
                <w:rFonts w:hint="eastAsia" w:ascii="仿宋" w:hAnsi="仿宋" w:eastAsia="仿宋" w:cs="仿宋"/>
                <w:i w:val="0"/>
                <w:color w:val="000000"/>
                <w:sz w:val="24"/>
                <w:szCs w:val="24"/>
                <w:u w:val="none"/>
              </w:rPr>
            </w:pP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jc w:val="lef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55"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生态效益</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部门（单位）履行职责对生态环境所带来的直接或间接影响。</w:t>
            </w:r>
          </w:p>
        </w:tc>
        <w:tc>
          <w:tcPr>
            <w:tcW w:w="3237"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jc w:val="left"/>
              <w:rPr>
                <w:rFonts w:hint="eastAsia" w:ascii="仿宋" w:hAnsi="仿宋" w:eastAsia="仿宋" w:cs="仿宋"/>
                <w:i w:val="0"/>
                <w:color w:val="000000"/>
                <w:sz w:val="24"/>
                <w:szCs w:val="24"/>
                <w:u w:val="none"/>
              </w:rPr>
            </w:pP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jc w:val="lef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093"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行政效能</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政府对机关工作实施情况的具体评价，以年度政府考核结果为依据。</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优秀计5分，良好计3分，合格计1分，不合格计0分。</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005"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社会公众或服务对象满意度</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社会公众或部门（单位）的服务对象对部门履职效果的满意程度。</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社会公众或服务对象是指部门（单位）履行职责而影响到的部门、群体或个人。</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≥90%，得5分；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每降低1%，扣0.5分，扣完为止。</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565" w:hRule="atLeast"/>
          <w:jc w:val="center"/>
        </w:trPr>
        <w:tc>
          <w:tcPr>
            <w:tcW w:w="1146" w:type="dxa"/>
            <w:gridSpan w:val="2"/>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合计</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1"/>
                <w:szCs w:val="21"/>
                <w:u w:val="none"/>
                <w:lang w:val="en-US" w:eastAsia="zh-CN" w:bidi="ar"/>
              </w:rPr>
              <w:t>100</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color w:val="000000"/>
                <w:sz w:val="24"/>
                <w:szCs w:val="24"/>
                <w:u w:val="none"/>
              </w:rPr>
            </w:pP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eastAsia" w:ascii="仿宋" w:hAnsi="仿宋" w:eastAsia="仿宋" w:cs="仿宋"/>
                <w:i w:val="0"/>
                <w:color w:val="000000"/>
                <w:sz w:val="24"/>
                <w:szCs w:val="24"/>
                <w:u w:val="none"/>
              </w:rPr>
            </w:pP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94</w:t>
            </w:r>
          </w:p>
        </w:tc>
      </w:tr>
    </w:tbl>
    <w:p>
      <w:pPr>
        <w:spacing w:line="560" w:lineRule="exact"/>
        <w:jc w:val="center"/>
        <w:rPr>
          <w:rFonts w:hint="default" w:ascii="Times New Roman" w:hAnsi="Times New Roman" w:eastAsia="方正小标宋_GBK" w:cs="Times New Roman"/>
          <w:kern w:val="0"/>
          <w:sz w:val="36"/>
          <w:szCs w:val="36"/>
        </w:rPr>
      </w:pPr>
    </w:p>
    <w:p>
      <w:pPr>
        <w:spacing w:line="560" w:lineRule="exact"/>
        <w:jc w:val="center"/>
        <w:rPr>
          <w:rFonts w:hint="default" w:ascii="Times New Roman" w:hAnsi="Times New Roman" w:eastAsia="方正小标宋_GBK" w:cs="Times New Roman"/>
          <w:kern w:val="0"/>
          <w:sz w:val="36"/>
          <w:szCs w:val="36"/>
        </w:rPr>
      </w:pPr>
    </w:p>
    <w:p>
      <w:pPr>
        <w:spacing w:line="560" w:lineRule="exact"/>
        <w:jc w:val="center"/>
        <w:rPr>
          <w:rFonts w:hint="default" w:ascii="Times New Roman" w:hAnsi="Times New Roman" w:eastAsia="方正小标宋_GBK" w:cs="Times New Roman"/>
          <w:kern w:val="0"/>
          <w:sz w:val="36"/>
          <w:szCs w:val="36"/>
        </w:rPr>
      </w:pPr>
    </w:p>
    <w:p>
      <w:pPr>
        <w:spacing w:line="560" w:lineRule="exact"/>
        <w:jc w:val="center"/>
        <w:rPr>
          <w:rFonts w:hint="default" w:ascii="Times New Roman" w:hAnsi="Times New Roman" w:eastAsia="方正小标宋_GBK" w:cs="Times New Roman"/>
          <w:kern w:val="0"/>
          <w:sz w:val="36"/>
          <w:szCs w:val="36"/>
        </w:rPr>
      </w:pPr>
    </w:p>
    <w:p>
      <w:pPr>
        <w:spacing w:line="560" w:lineRule="exact"/>
        <w:jc w:val="center"/>
        <w:rPr>
          <w:rFonts w:hint="default" w:ascii="Times New Roman" w:hAnsi="Times New Roman" w:eastAsia="黑体" w:cs="Times New Roman"/>
          <w:kern w:val="0"/>
          <w:sz w:val="32"/>
          <w:szCs w:val="32"/>
        </w:rPr>
      </w:pPr>
      <w:r>
        <w:rPr>
          <w:rFonts w:hint="default" w:ascii="Times New Roman" w:hAnsi="Times New Roman" w:eastAsia="方正小标宋_GBK" w:cs="Times New Roman"/>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hint="default" w:ascii="Times New Roman" w:hAnsi="Times New Roman" w:eastAsia="仿宋_GB2312" w:cs="Times New Roman"/>
          <w:kern w:val="0"/>
          <w:sz w:val="24"/>
          <w:szCs w:val="24"/>
        </w:rPr>
      </w:pPr>
      <w:r>
        <w:rPr>
          <w:rFonts w:hint="default" w:ascii="Times New Roman" w:hAnsi="Times New Roman" w:eastAsia="仿宋" w:cs="Times New Roman"/>
          <w:kern w:val="0"/>
          <w:sz w:val="24"/>
          <w:szCs w:val="24"/>
        </w:rPr>
        <w:t>填报单位：</w:t>
      </w:r>
      <w:r>
        <w:rPr>
          <w:rFonts w:hint="eastAsia" w:ascii="Times New Roman" w:hAnsi="Times New Roman" w:eastAsia="仿宋" w:cs="Times New Roman"/>
          <w:kern w:val="0"/>
          <w:sz w:val="24"/>
          <w:szCs w:val="24"/>
          <w:lang w:eastAsia="zh-CN"/>
        </w:rPr>
        <w:t>桃源县人民政府金融工作办公室</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ab/>
      </w:r>
    </w:p>
    <w:tbl>
      <w:tblPr>
        <w:tblStyle w:val="4"/>
        <w:tblW w:w="0" w:type="auto"/>
        <w:jc w:val="center"/>
        <w:tblLayout w:type="fixed"/>
        <w:tblCellMar>
          <w:top w:w="0" w:type="dxa"/>
          <w:left w:w="108" w:type="dxa"/>
          <w:bottom w:w="0" w:type="dxa"/>
          <w:right w:w="108" w:type="dxa"/>
        </w:tblCellMar>
      </w:tblPr>
      <w:tblGrid>
        <w:gridCol w:w="3315"/>
        <w:gridCol w:w="1104"/>
        <w:gridCol w:w="747"/>
        <w:gridCol w:w="932"/>
        <w:gridCol w:w="1050"/>
        <w:gridCol w:w="1007"/>
        <w:gridCol w:w="945"/>
      </w:tblGrid>
      <w:tr>
        <w:tblPrEx>
          <w:tblCellMar>
            <w:top w:w="0" w:type="dxa"/>
            <w:left w:w="108" w:type="dxa"/>
            <w:bottom w:w="0" w:type="dxa"/>
            <w:right w:w="108" w:type="dxa"/>
          </w:tblCellMar>
        </w:tblPrEx>
        <w:trPr>
          <w:trHeight w:val="952" w:hRule="atLeast"/>
          <w:jc w:val="center"/>
        </w:trPr>
        <w:tc>
          <w:tcPr>
            <w:tcW w:w="33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财政供养人员情况</w:t>
            </w:r>
          </w:p>
        </w:tc>
        <w:tc>
          <w:tcPr>
            <w:tcW w:w="1851"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编制数</w:t>
            </w:r>
          </w:p>
        </w:tc>
        <w:tc>
          <w:tcPr>
            <w:tcW w:w="198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eastAsia" w:ascii="Times New Roman" w:hAnsi="Times New Roman" w:eastAsia="仿宋" w:cs="Times New Roman"/>
                <w:bCs/>
                <w:kern w:val="0"/>
                <w:sz w:val="24"/>
                <w:szCs w:val="24"/>
                <w:lang w:eastAsia="zh-CN"/>
              </w:rPr>
              <w:t>2018</w:t>
            </w:r>
            <w:r>
              <w:rPr>
                <w:rFonts w:hint="default" w:ascii="Times New Roman" w:hAnsi="Times New Roman" w:eastAsia="仿宋" w:cs="Times New Roman"/>
                <w:bCs/>
                <w:kern w:val="0"/>
                <w:sz w:val="24"/>
                <w:szCs w:val="24"/>
              </w:rPr>
              <w:t>年实际</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在职人数</w:t>
            </w:r>
          </w:p>
        </w:tc>
        <w:tc>
          <w:tcPr>
            <w:tcW w:w="195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控制率</w:t>
            </w:r>
          </w:p>
        </w:tc>
      </w:tr>
      <w:tr>
        <w:tblPrEx>
          <w:tblCellMar>
            <w:top w:w="0" w:type="dxa"/>
            <w:left w:w="108" w:type="dxa"/>
            <w:bottom w:w="0" w:type="dxa"/>
            <w:right w:w="108" w:type="dxa"/>
          </w:tblCellMar>
        </w:tblPrEx>
        <w:trPr>
          <w:trHeight w:val="283" w:hRule="atLeast"/>
          <w:jc w:val="center"/>
        </w:trPr>
        <w:tc>
          <w:tcPr>
            <w:tcW w:w="33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p>
        </w:tc>
        <w:tc>
          <w:tcPr>
            <w:tcW w:w="1851"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4</w:t>
            </w:r>
          </w:p>
        </w:tc>
        <w:tc>
          <w:tcPr>
            <w:tcW w:w="198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4</w:t>
            </w:r>
          </w:p>
        </w:tc>
        <w:tc>
          <w:tcPr>
            <w:tcW w:w="195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100%</w:t>
            </w:r>
          </w:p>
        </w:tc>
      </w:tr>
      <w:tr>
        <w:tblPrEx>
          <w:tblCellMar>
            <w:top w:w="0" w:type="dxa"/>
            <w:left w:w="108" w:type="dxa"/>
            <w:bottom w:w="0" w:type="dxa"/>
            <w:right w:w="108" w:type="dxa"/>
          </w:tblCellMar>
        </w:tblPrEx>
        <w:trPr>
          <w:trHeight w:val="283"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经费控制情况</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黑体" w:hAnsi="黑体" w:eastAsia="黑体" w:cs="黑体"/>
                <w:bCs/>
                <w:kern w:val="0"/>
                <w:sz w:val="24"/>
                <w:szCs w:val="24"/>
              </w:rPr>
            </w:pPr>
            <w:r>
              <w:rPr>
                <w:rFonts w:hint="eastAsia" w:ascii="黑体" w:hAnsi="黑体" w:eastAsia="黑体" w:cs="黑体"/>
                <w:bCs/>
                <w:kern w:val="0"/>
                <w:sz w:val="24"/>
                <w:szCs w:val="24"/>
                <w:lang w:eastAsia="zh-CN"/>
              </w:rPr>
              <w:t>2018</w:t>
            </w:r>
            <w:r>
              <w:rPr>
                <w:rFonts w:hint="eastAsia" w:ascii="黑体" w:hAnsi="黑体" w:eastAsia="黑体" w:cs="黑体"/>
                <w:bCs/>
                <w:kern w:val="0"/>
                <w:sz w:val="24"/>
                <w:szCs w:val="24"/>
              </w:rPr>
              <w:t>年决算数</w:t>
            </w:r>
          </w:p>
        </w:tc>
        <w:tc>
          <w:tcPr>
            <w:tcW w:w="198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黑体" w:hAnsi="黑体" w:eastAsia="黑体" w:cs="黑体"/>
                <w:bCs/>
                <w:kern w:val="0"/>
                <w:sz w:val="24"/>
                <w:szCs w:val="24"/>
              </w:rPr>
            </w:pPr>
            <w:r>
              <w:rPr>
                <w:rFonts w:hint="eastAsia" w:ascii="黑体" w:hAnsi="黑体" w:eastAsia="黑体" w:cs="黑体"/>
                <w:bCs/>
                <w:kern w:val="0"/>
                <w:sz w:val="24"/>
                <w:szCs w:val="24"/>
                <w:lang w:eastAsia="zh-CN"/>
              </w:rPr>
              <w:t>201</w:t>
            </w:r>
            <w:r>
              <w:rPr>
                <w:rFonts w:hint="eastAsia" w:ascii="黑体" w:hAnsi="黑体" w:eastAsia="黑体" w:cs="黑体"/>
                <w:bCs/>
                <w:kern w:val="0"/>
                <w:sz w:val="24"/>
                <w:szCs w:val="24"/>
                <w:lang w:val="en-US" w:eastAsia="zh-CN"/>
              </w:rPr>
              <w:t>9</w:t>
            </w:r>
            <w:r>
              <w:rPr>
                <w:rFonts w:hint="eastAsia" w:ascii="黑体" w:hAnsi="黑体" w:eastAsia="黑体" w:cs="黑体"/>
                <w:bCs/>
                <w:kern w:val="0"/>
                <w:sz w:val="24"/>
                <w:szCs w:val="24"/>
              </w:rPr>
              <w:t>年预算数</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黑体" w:hAnsi="黑体" w:eastAsia="黑体" w:cs="黑体"/>
                <w:bCs/>
                <w:kern w:val="0"/>
                <w:sz w:val="24"/>
                <w:szCs w:val="24"/>
              </w:rPr>
            </w:pPr>
            <w:r>
              <w:rPr>
                <w:rFonts w:hint="eastAsia" w:ascii="黑体" w:hAnsi="黑体" w:eastAsia="黑体" w:cs="黑体"/>
                <w:bCs/>
                <w:kern w:val="0"/>
                <w:sz w:val="24"/>
                <w:szCs w:val="24"/>
                <w:lang w:eastAsia="zh-CN"/>
              </w:rPr>
              <w:t>201</w:t>
            </w:r>
            <w:r>
              <w:rPr>
                <w:rFonts w:hint="eastAsia" w:ascii="黑体" w:hAnsi="黑体" w:eastAsia="黑体" w:cs="黑体"/>
                <w:bCs/>
                <w:kern w:val="0"/>
                <w:sz w:val="24"/>
                <w:szCs w:val="24"/>
                <w:lang w:val="en-US" w:eastAsia="zh-CN"/>
              </w:rPr>
              <w:t>9</w:t>
            </w:r>
            <w:r>
              <w:rPr>
                <w:rFonts w:hint="eastAsia" w:ascii="黑体" w:hAnsi="黑体" w:eastAsia="黑体" w:cs="黑体"/>
                <w:bCs/>
                <w:kern w:val="0"/>
                <w:sz w:val="24"/>
                <w:szCs w:val="24"/>
              </w:rPr>
              <w:t>年决算数</w:t>
            </w:r>
          </w:p>
        </w:tc>
      </w:tr>
      <w:tr>
        <w:tblPrEx>
          <w:tblCellMar>
            <w:top w:w="0" w:type="dxa"/>
            <w:left w:w="108" w:type="dxa"/>
            <w:bottom w:w="0" w:type="dxa"/>
            <w:right w:w="108" w:type="dxa"/>
          </w:tblCellMar>
        </w:tblPrEx>
        <w:trPr>
          <w:trHeight w:val="461"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三公经费</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0.9</w:t>
            </w:r>
          </w:p>
        </w:tc>
        <w:tc>
          <w:tcPr>
            <w:tcW w:w="198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0.9</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0.47</w:t>
            </w:r>
          </w:p>
        </w:tc>
      </w:tr>
      <w:tr>
        <w:tblPrEx>
          <w:tblCellMar>
            <w:top w:w="0" w:type="dxa"/>
            <w:left w:w="108" w:type="dxa"/>
            <w:bottom w:w="0" w:type="dxa"/>
            <w:right w:w="108" w:type="dxa"/>
          </w:tblCellMar>
        </w:tblPrEx>
        <w:trPr>
          <w:trHeight w:val="283"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1.</w:t>
            </w:r>
            <w:r>
              <w:rPr>
                <w:rFonts w:hint="default" w:ascii="Times New Roman" w:hAnsi="Times New Roman" w:eastAsia="仿宋" w:cs="Times New Roman"/>
                <w:kern w:val="0"/>
                <w:sz w:val="24"/>
                <w:szCs w:val="24"/>
              </w:rPr>
              <w:t>公务用车购置和维护经费</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p>
        </w:tc>
        <w:tc>
          <w:tcPr>
            <w:tcW w:w="198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p>
        </w:tc>
      </w:tr>
      <w:tr>
        <w:tblPrEx>
          <w:tblCellMar>
            <w:top w:w="0" w:type="dxa"/>
            <w:left w:w="108" w:type="dxa"/>
            <w:bottom w:w="0" w:type="dxa"/>
            <w:right w:w="108" w:type="dxa"/>
          </w:tblCellMar>
        </w:tblPrEx>
        <w:trPr>
          <w:trHeight w:val="283"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其中：公车购置</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p>
        </w:tc>
        <w:tc>
          <w:tcPr>
            <w:tcW w:w="198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p>
        </w:tc>
      </w:tr>
      <w:tr>
        <w:tblPrEx>
          <w:tblCellMar>
            <w:top w:w="0" w:type="dxa"/>
            <w:left w:w="108" w:type="dxa"/>
            <w:bottom w:w="0" w:type="dxa"/>
            <w:right w:w="108" w:type="dxa"/>
          </w:tblCellMar>
        </w:tblPrEx>
        <w:trPr>
          <w:trHeight w:val="283"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公车运行维护</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p>
        </w:tc>
        <w:tc>
          <w:tcPr>
            <w:tcW w:w="198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p>
        </w:tc>
      </w:tr>
      <w:tr>
        <w:tblPrEx>
          <w:tblCellMar>
            <w:top w:w="0" w:type="dxa"/>
            <w:left w:w="108" w:type="dxa"/>
            <w:bottom w:w="0" w:type="dxa"/>
            <w:right w:w="108" w:type="dxa"/>
          </w:tblCellMar>
        </w:tblPrEx>
        <w:trPr>
          <w:trHeight w:val="283"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2</w:t>
            </w:r>
            <w:r>
              <w:rPr>
                <w:rFonts w:hint="eastAsia" w:ascii="Times New Roman" w:hAnsi="Times New Roman" w:eastAsia="仿宋" w:cs="Times New Roman"/>
                <w:kern w:val="0"/>
                <w:sz w:val="24"/>
                <w:szCs w:val="24"/>
                <w:lang w:val="en-US" w:eastAsia="zh-CN"/>
              </w:rPr>
              <w:t>.</w:t>
            </w:r>
            <w:r>
              <w:rPr>
                <w:rFonts w:hint="default" w:ascii="Times New Roman" w:hAnsi="Times New Roman" w:eastAsia="仿宋" w:cs="Times New Roman"/>
                <w:kern w:val="0"/>
                <w:sz w:val="24"/>
                <w:szCs w:val="24"/>
              </w:rPr>
              <w:t>出国经费</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p>
        </w:tc>
        <w:tc>
          <w:tcPr>
            <w:tcW w:w="198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p>
        </w:tc>
      </w:tr>
      <w:tr>
        <w:tblPrEx>
          <w:tblCellMar>
            <w:top w:w="0" w:type="dxa"/>
            <w:left w:w="108" w:type="dxa"/>
            <w:bottom w:w="0" w:type="dxa"/>
            <w:right w:w="108" w:type="dxa"/>
          </w:tblCellMar>
        </w:tblPrEx>
        <w:trPr>
          <w:trHeight w:val="283"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3</w:t>
            </w:r>
            <w:r>
              <w:rPr>
                <w:rFonts w:hint="eastAsia" w:ascii="Times New Roman" w:hAnsi="Times New Roman" w:eastAsia="仿宋" w:cs="Times New Roman"/>
                <w:kern w:val="0"/>
                <w:sz w:val="24"/>
                <w:szCs w:val="24"/>
                <w:lang w:val="en-US" w:eastAsia="zh-CN"/>
              </w:rPr>
              <w:t>.</w:t>
            </w:r>
            <w:r>
              <w:rPr>
                <w:rFonts w:hint="default" w:ascii="Times New Roman" w:hAnsi="Times New Roman" w:eastAsia="仿宋" w:cs="Times New Roman"/>
                <w:kern w:val="0"/>
                <w:sz w:val="24"/>
                <w:szCs w:val="24"/>
              </w:rPr>
              <w:t>公务接待</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0.9</w:t>
            </w:r>
          </w:p>
        </w:tc>
        <w:tc>
          <w:tcPr>
            <w:tcW w:w="198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0.9</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0.47</w:t>
            </w:r>
          </w:p>
        </w:tc>
      </w:tr>
      <w:tr>
        <w:tblPrEx>
          <w:tblCellMar>
            <w:top w:w="0" w:type="dxa"/>
            <w:left w:w="108" w:type="dxa"/>
            <w:bottom w:w="0" w:type="dxa"/>
            <w:right w:w="108" w:type="dxa"/>
          </w:tblCellMar>
        </w:tblPrEx>
        <w:trPr>
          <w:trHeight w:val="283"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项目支出</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55.97</w:t>
            </w:r>
          </w:p>
        </w:tc>
        <w:tc>
          <w:tcPr>
            <w:tcW w:w="198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20</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32.36</w:t>
            </w:r>
          </w:p>
        </w:tc>
      </w:tr>
      <w:tr>
        <w:tblPrEx>
          <w:tblCellMar>
            <w:top w:w="0" w:type="dxa"/>
            <w:left w:w="108" w:type="dxa"/>
            <w:bottom w:w="0" w:type="dxa"/>
            <w:right w:w="108" w:type="dxa"/>
          </w:tblCellMar>
        </w:tblPrEx>
        <w:trPr>
          <w:trHeight w:val="283"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w:t>
            </w:r>
            <w:r>
              <w:rPr>
                <w:rFonts w:hint="eastAsia" w:ascii="Times New Roman" w:hAnsi="Times New Roman" w:eastAsia="仿宋" w:cs="Times New Roman"/>
                <w:kern w:val="0"/>
                <w:sz w:val="24"/>
                <w:szCs w:val="24"/>
                <w:lang w:val="en-US" w:eastAsia="zh-CN"/>
              </w:rPr>
              <w:t>.</w:t>
            </w:r>
            <w:r>
              <w:rPr>
                <w:rFonts w:hint="default" w:ascii="Times New Roman" w:hAnsi="Times New Roman" w:eastAsia="仿宋" w:cs="Times New Roman"/>
                <w:kern w:val="0"/>
                <w:sz w:val="24"/>
                <w:szCs w:val="24"/>
              </w:rPr>
              <w:t>业务工作专项</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36.86</w:t>
            </w:r>
          </w:p>
        </w:tc>
        <w:tc>
          <w:tcPr>
            <w:tcW w:w="198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20</w:t>
            </w:r>
            <w:r>
              <w:rPr>
                <w:rFonts w:hint="eastAsia" w:ascii="Times New Roman" w:hAnsi="Times New Roman" w:eastAsia="仿宋" w:cs="Times New Roman"/>
                <w:kern w:val="0"/>
                <w:sz w:val="24"/>
                <w:szCs w:val="24"/>
                <w:lang w:val="en-US" w:eastAsia="zh-CN"/>
              </w:rPr>
              <w:t>5</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32.36</w:t>
            </w:r>
          </w:p>
        </w:tc>
      </w:tr>
      <w:tr>
        <w:tblPrEx>
          <w:tblCellMar>
            <w:top w:w="0" w:type="dxa"/>
            <w:left w:w="108" w:type="dxa"/>
            <w:bottom w:w="0" w:type="dxa"/>
            <w:right w:w="108" w:type="dxa"/>
          </w:tblCellMar>
        </w:tblPrEx>
        <w:trPr>
          <w:trHeight w:val="283"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2</w:t>
            </w:r>
            <w:r>
              <w:rPr>
                <w:rFonts w:hint="eastAsia" w:ascii="Times New Roman" w:hAnsi="Times New Roman" w:eastAsia="仿宋" w:cs="Times New Roman"/>
                <w:kern w:val="0"/>
                <w:sz w:val="24"/>
                <w:szCs w:val="24"/>
                <w:lang w:val="en-US" w:eastAsia="zh-CN"/>
              </w:rPr>
              <w:t>.</w:t>
            </w:r>
            <w:r>
              <w:rPr>
                <w:rFonts w:hint="default" w:ascii="Times New Roman" w:hAnsi="Times New Roman" w:eastAsia="仿宋" w:cs="Times New Roman"/>
                <w:kern w:val="0"/>
                <w:sz w:val="24"/>
                <w:szCs w:val="24"/>
              </w:rPr>
              <w:t>运行维护专项</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p>
        </w:tc>
        <w:tc>
          <w:tcPr>
            <w:tcW w:w="198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p>
        </w:tc>
      </w:tr>
      <w:tr>
        <w:tblPrEx>
          <w:tblCellMar>
            <w:top w:w="0" w:type="dxa"/>
            <w:left w:w="108" w:type="dxa"/>
            <w:bottom w:w="0" w:type="dxa"/>
            <w:right w:w="108" w:type="dxa"/>
          </w:tblCellMar>
        </w:tblPrEx>
        <w:trPr>
          <w:trHeight w:val="282"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3.对企业补助</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19.11</w:t>
            </w:r>
          </w:p>
        </w:tc>
        <w:tc>
          <w:tcPr>
            <w:tcW w:w="198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p>
        </w:tc>
      </w:tr>
      <w:tr>
        <w:tblPrEx>
          <w:tblCellMar>
            <w:top w:w="0" w:type="dxa"/>
            <w:left w:w="108" w:type="dxa"/>
            <w:bottom w:w="0" w:type="dxa"/>
            <w:right w:w="108" w:type="dxa"/>
          </w:tblCellMar>
        </w:tblPrEx>
        <w:trPr>
          <w:trHeight w:val="283"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公用经费</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10.58</w:t>
            </w:r>
          </w:p>
        </w:tc>
        <w:tc>
          <w:tcPr>
            <w:tcW w:w="198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16.67</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9.34</w:t>
            </w:r>
          </w:p>
        </w:tc>
      </w:tr>
      <w:tr>
        <w:tblPrEx>
          <w:tblCellMar>
            <w:top w:w="0" w:type="dxa"/>
            <w:left w:w="108" w:type="dxa"/>
            <w:bottom w:w="0" w:type="dxa"/>
            <w:right w:w="108" w:type="dxa"/>
          </w:tblCellMar>
        </w:tblPrEx>
        <w:trPr>
          <w:trHeight w:val="222"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1.</w:t>
            </w:r>
            <w:r>
              <w:rPr>
                <w:rFonts w:hint="default" w:ascii="Times New Roman" w:hAnsi="Times New Roman" w:eastAsia="仿宋" w:cs="Times New Roman"/>
                <w:kern w:val="0"/>
                <w:sz w:val="24"/>
                <w:szCs w:val="24"/>
              </w:rPr>
              <w:t>办公经费</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2.63</w:t>
            </w:r>
          </w:p>
        </w:tc>
        <w:tc>
          <w:tcPr>
            <w:tcW w:w="198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2.</w:t>
            </w:r>
            <w:r>
              <w:rPr>
                <w:rFonts w:hint="eastAsia" w:eastAsia="仿宋" w:cs="Times New Roman"/>
                <w:color w:val="auto"/>
                <w:kern w:val="0"/>
                <w:sz w:val="24"/>
                <w:szCs w:val="24"/>
                <w:lang w:val="en-US" w:eastAsia="zh-CN"/>
              </w:rPr>
              <w:t>5</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1.88</w:t>
            </w:r>
          </w:p>
        </w:tc>
      </w:tr>
      <w:tr>
        <w:tblPrEx>
          <w:tblCellMar>
            <w:top w:w="0" w:type="dxa"/>
            <w:left w:w="108" w:type="dxa"/>
            <w:bottom w:w="0" w:type="dxa"/>
            <w:right w:w="108" w:type="dxa"/>
          </w:tblCellMar>
        </w:tblPrEx>
        <w:trPr>
          <w:trHeight w:val="283"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2.</w:t>
            </w:r>
            <w:r>
              <w:rPr>
                <w:rFonts w:hint="default" w:ascii="Times New Roman" w:hAnsi="Times New Roman" w:eastAsia="仿宋" w:cs="Times New Roman"/>
                <w:kern w:val="0"/>
                <w:sz w:val="24"/>
                <w:szCs w:val="24"/>
              </w:rPr>
              <w:t>水电费</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0.56</w:t>
            </w:r>
          </w:p>
        </w:tc>
        <w:tc>
          <w:tcPr>
            <w:tcW w:w="198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0.5</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0.53</w:t>
            </w:r>
          </w:p>
        </w:tc>
      </w:tr>
      <w:tr>
        <w:tblPrEx>
          <w:tblCellMar>
            <w:top w:w="0" w:type="dxa"/>
            <w:left w:w="108" w:type="dxa"/>
            <w:bottom w:w="0" w:type="dxa"/>
            <w:right w:w="108" w:type="dxa"/>
          </w:tblCellMar>
        </w:tblPrEx>
        <w:trPr>
          <w:trHeight w:val="283"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3.</w:t>
            </w:r>
            <w:r>
              <w:rPr>
                <w:rFonts w:hint="default" w:ascii="Times New Roman" w:hAnsi="Times New Roman" w:eastAsia="仿宋" w:cs="Times New Roman"/>
                <w:kern w:val="0"/>
                <w:sz w:val="24"/>
                <w:szCs w:val="24"/>
              </w:rPr>
              <w:t>差旅费</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1.13</w:t>
            </w:r>
          </w:p>
        </w:tc>
        <w:tc>
          <w:tcPr>
            <w:tcW w:w="198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1.5</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2.63</w:t>
            </w:r>
          </w:p>
        </w:tc>
      </w:tr>
      <w:tr>
        <w:tblPrEx>
          <w:tblCellMar>
            <w:top w:w="0" w:type="dxa"/>
            <w:left w:w="108" w:type="dxa"/>
            <w:bottom w:w="0" w:type="dxa"/>
            <w:right w:w="108" w:type="dxa"/>
          </w:tblCellMar>
        </w:tblPrEx>
        <w:trPr>
          <w:trHeight w:val="283"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4.</w:t>
            </w:r>
            <w:r>
              <w:rPr>
                <w:rFonts w:hint="default" w:ascii="Times New Roman" w:hAnsi="Times New Roman" w:eastAsia="仿宋" w:cs="Times New Roman"/>
                <w:kern w:val="0"/>
                <w:sz w:val="24"/>
                <w:szCs w:val="24"/>
              </w:rPr>
              <w:t>会议费</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0.09</w:t>
            </w:r>
          </w:p>
        </w:tc>
        <w:tc>
          <w:tcPr>
            <w:tcW w:w="198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rPr>
            </w:pPr>
            <w:r>
              <w:rPr>
                <w:rFonts w:hint="eastAsia" w:eastAsia="仿宋" w:cs="Times New Roman"/>
                <w:color w:val="auto"/>
                <w:kern w:val="0"/>
                <w:sz w:val="24"/>
                <w:szCs w:val="24"/>
                <w:lang w:val="en-US" w:eastAsia="zh-CN"/>
              </w:rPr>
              <w:t>1.0</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0.62</w:t>
            </w:r>
          </w:p>
        </w:tc>
      </w:tr>
      <w:tr>
        <w:tblPrEx>
          <w:tblCellMar>
            <w:top w:w="0" w:type="dxa"/>
            <w:left w:w="108" w:type="dxa"/>
            <w:bottom w:w="0" w:type="dxa"/>
            <w:right w:w="108" w:type="dxa"/>
          </w:tblCellMar>
        </w:tblPrEx>
        <w:trPr>
          <w:trHeight w:val="283"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5.</w:t>
            </w:r>
            <w:r>
              <w:rPr>
                <w:rFonts w:hint="default" w:ascii="Times New Roman" w:hAnsi="Times New Roman" w:eastAsia="仿宋" w:cs="Times New Roman"/>
                <w:kern w:val="0"/>
                <w:sz w:val="24"/>
                <w:szCs w:val="24"/>
              </w:rPr>
              <w:t>培训费</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0.81</w:t>
            </w:r>
          </w:p>
        </w:tc>
        <w:tc>
          <w:tcPr>
            <w:tcW w:w="198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1.0</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0.24</w:t>
            </w:r>
          </w:p>
        </w:tc>
      </w:tr>
      <w:tr>
        <w:tblPrEx>
          <w:tblCellMar>
            <w:top w:w="0" w:type="dxa"/>
            <w:left w:w="108" w:type="dxa"/>
            <w:bottom w:w="0" w:type="dxa"/>
            <w:right w:w="108" w:type="dxa"/>
          </w:tblCellMar>
        </w:tblPrEx>
        <w:trPr>
          <w:trHeight w:val="283"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6.邮电费</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FF0000"/>
                <w:kern w:val="0"/>
                <w:sz w:val="24"/>
                <w:szCs w:val="24"/>
                <w:lang w:val="en-US" w:eastAsia="zh-CN"/>
              </w:rPr>
            </w:pPr>
            <w:r>
              <w:rPr>
                <w:rFonts w:hint="eastAsia" w:ascii="Times New Roman" w:hAnsi="Times New Roman" w:eastAsia="仿宋" w:cs="Times New Roman"/>
                <w:color w:val="auto"/>
                <w:kern w:val="0"/>
                <w:sz w:val="24"/>
                <w:szCs w:val="24"/>
                <w:lang w:val="en-US" w:eastAsia="zh-CN"/>
              </w:rPr>
              <w:t>0.89</w:t>
            </w:r>
          </w:p>
        </w:tc>
        <w:tc>
          <w:tcPr>
            <w:tcW w:w="198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0.65</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0.5</w:t>
            </w:r>
          </w:p>
        </w:tc>
      </w:tr>
      <w:tr>
        <w:tblPrEx>
          <w:tblCellMar>
            <w:top w:w="0" w:type="dxa"/>
            <w:left w:w="108" w:type="dxa"/>
            <w:bottom w:w="0" w:type="dxa"/>
            <w:right w:w="108" w:type="dxa"/>
          </w:tblCellMar>
        </w:tblPrEx>
        <w:trPr>
          <w:trHeight w:val="107" w:hRule="atLeast"/>
          <w:jc w:val="center"/>
        </w:trPr>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lang w:val="en-US" w:eastAsia="zh-CN" w:bidi="ar"/>
              </w:rPr>
              <w:t>7.</w:t>
            </w:r>
            <w:r>
              <w:rPr>
                <w:rFonts w:hint="default" w:ascii="仿宋" w:hAnsi="仿宋" w:eastAsia="仿宋" w:cs="仿宋"/>
                <w:kern w:val="0"/>
                <w:sz w:val="24"/>
                <w:szCs w:val="24"/>
                <w:lang w:val="en-US" w:eastAsia="zh-CN" w:bidi="ar"/>
              </w:rPr>
              <w:t>公务接待费</w:t>
            </w:r>
          </w:p>
        </w:tc>
        <w:tc>
          <w:tcPr>
            <w:tcW w:w="18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b w:val="0"/>
                <w:bCs w:val="0"/>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0.9</w:t>
            </w:r>
          </w:p>
        </w:tc>
        <w:tc>
          <w:tcPr>
            <w:tcW w:w="19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rPr>
            </w:pPr>
            <w:r>
              <w:rPr>
                <w:rFonts w:hint="eastAsia" w:eastAsia="仿宋" w:cs="Times New Roman"/>
                <w:b w:val="0"/>
                <w:bCs w:val="0"/>
                <w:color w:val="auto"/>
                <w:kern w:val="0"/>
                <w:sz w:val="24"/>
                <w:szCs w:val="24"/>
                <w:lang w:val="en-US" w:eastAsia="zh-CN"/>
              </w:rPr>
              <w:t>1.0</w:t>
            </w:r>
          </w:p>
        </w:tc>
        <w:tc>
          <w:tcPr>
            <w:tcW w:w="19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0.47</w:t>
            </w:r>
          </w:p>
        </w:tc>
      </w:tr>
      <w:tr>
        <w:tblPrEx>
          <w:tblCellMar>
            <w:top w:w="0" w:type="dxa"/>
            <w:left w:w="108" w:type="dxa"/>
            <w:bottom w:w="0" w:type="dxa"/>
            <w:right w:w="108" w:type="dxa"/>
          </w:tblCellMar>
        </w:tblPrEx>
        <w:trPr>
          <w:trHeight w:val="283" w:hRule="atLeast"/>
          <w:jc w:val="center"/>
        </w:trPr>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lang w:val="en-US" w:eastAsia="zh-CN" w:bidi="ar"/>
              </w:rPr>
              <w:t>8.</w:t>
            </w:r>
            <w:r>
              <w:rPr>
                <w:rFonts w:hint="default" w:ascii="仿宋" w:hAnsi="仿宋" w:eastAsia="仿宋" w:cs="仿宋"/>
                <w:kern w:val="0"/>
                <w:sz w:val="24"/>
                <w:szCs w:val="24"/>
                <w:lang w:val="en-US" w:eastAsia="zh-CN" w:bidi="ar"/>
              </w:rPr>
              <w:t>工会经费</w:t>
            </w:r>
          </w:p>
        </w:tc>
        <w:tc>
          <w:tcPr>
            <w:tcW w:w="1851"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b w:val="0"/>
                <w:bCs w:val="0"/>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0.36</w:t>
            </w:r>
          </w:p>
        </w:tc>
        <w:tc>
          <w:tcPr>
            <w:tcW w:w="1982"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rPr>
            </w:pPr>
            <w:r>
              <w:rPr>
                <w:rFonts w:hint="eastAsia" w:eastAsia="仿宋" w:cs="Times New Roman"/>
                <w:b w:val="0"/>
                <w:bCs w:val="0"/>
                <w:color w:val="auto"/>
                <w:kern w:val="0"/>
                <w:sz w:val="24"/>
                <w:szCs w:val="24"/>
                <w:lang w:val="en-US" w:eastAsia="zh-CN"/>
              </w:rPr>
              <w:t>0.45</w:t>
            </w:r>
          </w:p>
        </w:tc>
        <w:tc>
          <w:tcPr>
            <w:tcW w:w="1952"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0.63</w:t>
            </w:r>
          </w:p>
        </w:tc>
      </w:tr>
      <w:tr>
        <w:tblPrEx>
          <w:tblCellMar>
            <w:top w:w="0" w:type="dxa"/>
            <w:left w:w="108" w:type="dxa"/>
            <w:bottom w:w="0" w:type="dxa"/>
            <w:right w:w="108" w:type="dxa"/>
          </w:tblCellMar>
        </w:tblPrEx>
        <w:trPr>
          <w:trHeight w:val="283" w:hRule="atLeast"/>
          <w:jc w:val="center"/>
        </w:trPr>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bidi="ar"/>
              </w:rPr>
              <w:t>9</w:t>
            </w:r>
            <w:r>
              <w:rPr>
                <w:rFonts w:hint="default" w:ascii="Times New Roman" w:hAnsi="Times New Roman" w:eastAsia="仿宋" w:cs="Times New Roman"/>
                <w:kern w:val="0"/>
                <w:sz w:val="24"/>
                <w:szCs w:val="24"/>
                <w:lang w:val="en-US" w:eastAsia="zh-CN" w:bidi="ar"/>
              </w:rPr>
              <w:t>.</w:t>
            </w:r>
            <w:r>
              <w:rPr>
                <w:rFonts w:hint="eastAsia" w:ascii="仿宋" w:hAnsi="仿宋" w:eastAsia="仿宋" w:cs="仿宋"/>
                <w:kern w:val="0"/>
                <w:sz w:val="24"/>
                <w:szCs w:val="24"/>
                <w:lang w:val="en-US" w:eastAsia="zh-CN" w:bidi="ar"/>
              </w:rPr>
              <w:t>劳务费</w:t>
            </w:r>
          </w:p>
        </w:tc>
        <w:tc>
          <w:tcPr>
            <w:tcW w:w="1851"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b w:val="0"/>
                <w:bCs w:val="0"/>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0.42</w:t>
            </w:r>
          </w:p>
        </w:tc>
        <w:tc>
          <w:tcPr>
            <w:tcW w:w="1982"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rPr>
            </w:pPr>
            <w:r>
              <w:rPr>
                <w:rFonts w:hint="eastAsia" w:eastAsia="仿宋" w:cs="Times New Roman"/>
                <w:b w:val="0"/>
                <w:bCs w:val="0"/>
                <w:color w:val="auto"/>
                <w:kern w:val="0"/>
                <w:sz w:val="24"/>
                <w:szCs w:val="24"/>
                <w:lang w:val="en-US" w:eastAsia="zh-CN"/>
              </w:rPr>
              <w:t>1.0</w:t>
            </w:r>
          </w:p>
        </w:tc>
        <w:tc>
          <w:tcPr>
            <w:tcW w:w="1952"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0.37</w:t>
            </w:r>
          </w:p>
        </w:tc>
      </w:tr>
      <w:tr>
        <w:tblPrEx>
          <w:tblCellMar>
            <w:top w:w="0" w:type="dxa"/>
            <w:left w:w="108" w:type="dxa"/>
            <w:bottom w:w="0" w:type="dxa"/>
            <w:right w:w="108" w:type="dxa"/>
          </w:tblCellMar>
        </w:tblPrEx>
        <w:trPr>
          <w:trHeight w:val="283" w:hRule="atLeast"/>
          <w:jc w:val="center"/>
        </w:trPr>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bidi="ar"/>
              </w:rPr>
              <w:t>10</w:t>
            </w:r>
            <w:r>
              <w:rPr>
                <w:rFonts w:hint="default" w:ascii="Times New Roman" w:hAnsi="Times New Roman" w:eastAsia="仿宋" w:cs="Times New Roman"/>
                <w:kern w:val="0"/>
                <w:sz w:val="24"/>
                <w:szCs w:val="24"/>
                <w:lang w:val="en-US" w:eastAsia="zh-CN" w:bidi="ar"/>
              </w:rPr>
              <w:t>.</w:t>
            </w:r>
            <w:r>
              <w:rPr>
                <w:rFonts w:hint="eastAsia" w:ascii="仿宋" w:hAnsi="仿宋" w:eastAsia="仿宋" w:cs="仿宋"/>
                <w:kern w:val="0"/>
                <w:sz w:val="24"/>
                <w:szCs w:val="24"/>
                <w:lang w:val="en-US" w:eastAsia="zh-CN" w:bidi="ar"/>
              </w:rPr>
              <w:t>印刷</w:t>
            </w:r>
            <w:r>
              <w:rPr>
                <w:rFonts w:hint="default" w:ascii="仿宋" w:hAnsi="仿宋" w:eastAsia="仿宋" w:cs="仿宋"/>
                <w:kern w:val="0"/>
                <w:sz w:val="24"/>
                <w:szCs w:val="24"/>
                <w:lang w:val="en-US" w:eastAsia="zh-CN" w:bidi="ar"/>
              </w:rPr>
              <w:t>费</w:t>
            </w:r>
          </w:p>
        </w:tc>
        <w:tc>
          <w:tcPr>
            <w:tcW w:w="1851"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b w:val="0"/>
                <w:bCs w:val="0"/>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2.76</w:t>
            </w:r>
          </w:p>
        </w:tc>
        <w:tc>
          <w:tcPr>
            <w:tcW w:w="1982"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rPr>
            </w:pPr>
            <w:r>
              <w:rPr>
                <w:rFonts w:hint="eastAsia" w:eastAsia="仿宋" w:cs="Times New Roman"/>
                <w:b w:val="0"/>
                <w:bCs w:val="0"/>
                <w:color w:val="auto"/>
                <w:kern w:val="0"/>
                <w:sz w:val="24"/>
                <w:szCs w:val="24"/>
                <w:lang w:val="en-US" w:eastAsia="zh-CN"/>
              </w:rPr>
              <w:t>1.0</w:t>
            </w:r>
          </w:p>
        </w:tc>
        <w:tc>
          <w:tcPr>
            <w:tcW w:w="1952"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0.26</w:t>
            </w:r>
          </w:p>
        </w:tc>
      </w:tr>
      <w:tr>
        <w:tblPrEx>
          <w:tblCellMar>
            <w:top w:w="0" w:type="dxa"/>
            <w:left w:w="108" w:type="dxa"/>
            <w:bottom w:w="0" w:type="dxa"/>
            <w:right w:w="108" w:type="dxa"/>
          </w:tblCellMar>
        </w:tblPrEx>
        <w:trPr>
          <w:trHeight w:val="283" w:hRule="atLeast"/>
          <w:jc w:val="center"/>
        </w:trPr>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bidi="ar"/>
              </w:rPr>
              <w:t>11</w:t>
            </w:r>
            <w:r>
              <w:rPr>
                <w:rFonts w:hint="default" w:ascii="Times New Roman" w:hAnsi="Times New Roman" w:eastAsia="仿宋" w:cs="Times New Roman"/>
                <w:kern w:val="0"/>
                <w:sz w:val="24"/>
                <w:szCs w:val="24"/>
                <w:lang w:val="en-US" w:eastAsia="zh-CN" w:bidi="ar"/>
              </w:rPr>
              <w:t>.</w:t>
            </w:r>
            <w:r>
              <w:rPr>
                <w:rFonts w:hint="eastAsia" w:ascii="仿宋" w:hAnsi="仿宋" w:eastAsia="仿宋" w:cs="仿宋"/>
                <w:kern w:val="0"/>
                <w:sz w:val="24"/>
                <w:szCs w:val="24"/>
                <w:lang w:val="en-US" w:eastAsia="zh-CN" w:bidi="ar"/>
              </w:rPr>
              <w:t>维修（护）</w:t>
            </w:r>
            <w:r>
              <w:rPr>
                <w:rFonts w:hint="default" w:ascii="仿宋" w:hAnsi="仿宋" w:eastAsia="仿宋" w:cs="仿宋"/>
                <w:kern w:val="0"/>
                <w:sz w:val="24"/>
                <w:szCs w:val="24"/>
                <w:lang w:val="en-US" w:eastAsia="zh-CN" w:bidi="ar"/>
              </w:rPr>
              <w:t>费</w:t>
            </w:r>
          </w:p>
        </w:tc>
        <w:tc>
          <w:tcPr>
            <w:tcW w:w="1851"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b w:val="0"/>
                <w:bCs w:val="0"/>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0</w:t>
            </w:r>
          </w:p>
        </w:tc>
        <w:tc>
          <w:tcPr>
            <w:tcW w:w="1982"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rPr>
            </w:pPr>
            <w:r>
              <w:rPr>
                <w:rFonts w:hint="eastAsia" w:eastAsia="仿宋" w:cs="Times New Roman"/>
                <w:b w:val="0"/>
                <w:bCs w:val="0"/>
                <w:color w:val="auto"/>
                <w:kern w:val="0"/>
                <w:sz w:val="24"/>
                <w:szCs w:val="24"/>
                <w:lang w:val="en-US" w:eastAsia="zh-CN"/>
              </w:rPr>
              <w:t>1.0</w:t>
            </w:r>
          </w:p>
        </w:tc>
        <w:tc>
          <w:tcPr>
            <w:tcW w:w="1952"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1.18</w:t>
            </w:r>
          </w:p>
        </w:tc>
      </w:tr>
      <w:tr>
        <w:tblPrEx>
          <w:tblCellMar>
            <w:top w:w="0" w:type="dxa"/>
            <w:left w:w="108" w:type="dxa"/>
            <w:bottom w:w="0" w:type="dxa"/>
            <w:right w:w="108" w:type="dxa"/>
          </w:tblCellMar>
        </w:tblPrEx>
        <w:trPr>
          <w:trHeight w:val="283" w:hRule="atLeast"/>
          <w:jc w:val="center"/>
        </w:trPr>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bidi="ar"/>
              </w:rPr>
              <w:t>12</w:t>
            </w:r>
            <w:r>
              <w:rPr>
                <w:rFonts w:hint="default" w:ascii="Times New Roman" w:hAnsi="Times New Roman" w:eastAsia="仿宋" w:cs="Times New Roman"/>
                <w:kern w:val="0"/>
                <w:sz w:val="24"/>
                <w:szCs w:val="24"/>
                <w:lang w:val="en-US" w:eastAsia="zh-CN" w:bidi="ar"/>
              </w:rPr>
              <w:t>.</w:t>
            </w:r>
            <w:r>
              <w:rPr>
                <w:rFonts w:hint="eastAsia" w:ascii="仿宋" w:hAnsi="仿宋" w:eastAsia="仿宋" w:cs="仿宋"/>
                <w:kern w:val="0"/>
                <w:sz w:val="24"/>
                <w:szCs w:val="24"/>
                <w:lang w:val="en-US" w:eastAsia="zh-CN" w:bidi="ar"/>
              </w:rPr>
              <w:t>租赁</w:t>
            </w:r>
            <w:r>
              <w:rPr>
                <w:rFonts w:hint="default" w:ascii="仿宋" w:hAnsi="仿宋" w:eastAsia="仿宋" w:cs="仿宋"/>
                <w:kern w:val="0"/>
                <w:sz w:val="24"/>
                <w:szCs w:val="24"/>
                <w:lang w:val="en-US" w:eastAsia="zh-CN" w:bidi="ar"/>
              </w:rPr>
              <w:t>费</w:t>
            </w:r>
          </w:p>
        </w:tc>
        <w:tc>
          <w:tcPr>
            <w:tcW w:w="1851"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b w:val="0"/>
                <w:bCs w:val="0"/>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0</w:t>
            </w:r>
          </w:p>
        </w:tc>
        <w:tc>
          <w:tcPr>
            <w:tcW w:w="1982"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rPr>
            </w:pPr>
            <w:r>
              <w:rPr>
                <w:rFonts w:hint="eastAsia" w:eastAsia="仿宋" w:cs="Times New Roman"/>
                <w:b w:val="0"/>
                <w:bCs w:val="0"/>
                <w:color w:val="auto"/>
                <w:kern w:val="0"/>
                <w:sz w:val="24"/>
                <w:szCs w:val="24"/>
                <w:lang w:val="en-US" w:eastAsia="zh-CN"/>
              </w:rPr>
              <w:t>1.0</w:t>
            </w:r>
          </w:p>
        </w:tc>
        <w:tc>
          <w:tcPr>
            <w:tcW w:w="1952"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0</w:t>
            </w:r>
          </w:p>
        </w:tc>
      </w:tr>
      <w:tr>
        <w:tblPrEx>
          <w:tblCellMar>
            <w:top w:w="0" w:type="dxa"/>
            <w:left w:w="108" w:type="dxa"/>
            <w:bottom w:w="0" w:type="dxa"/>
            <w:right w:w="108" w:type="dxa"/>
          </w:tblCellMar>
        </w:tblPrEx>
        <w:trPr>
          <w:trHeight w:val="283" w:hRule="atLeast"/>
          <w:jc w:val="center"/>
        </w:trPr>
        <w:tc>
          <w:tcPr>
            <w:tcW w:w="331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bidi="ar"/>
              </w:rPr>
              <w:t>13</w:t>
            </w:r>
            <w:r>
              <w:rPr>
                <w:rFonts w:hint="default" w:ascii="仿宋" w:hAnsi="仿宋" w:eastAsia="仿宋" w:cs="仿宋"/>
                <w:kern w:val="0"/>
                <w:sz w:val="24"/>
                <w:szCs w:val="24"/>
                <w:lang w:val="en-US" w:eastAsia="zh-CN" w:bidi="ar"/>
              </w:rPr>
              <w:t>其他交通费用</w:t>
            </w:r>
          </w:p>
        </w:tc>
        <w:tc>
          <w:tcPr>
            <w:tcW w:w="1851"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b w:val="0"/>
                <w:bCs w:val="0"/>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0</w:t>
            </w:r>
          </w:p>
        </w:tc>
        <w:tc>
          <w:tcPr>
            <w:tcW w:w="1982"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rPr>
            </w:pPr>
            <w:r>
              <w:rPr>
                <w:rFonts w:hint="eastAsia" w:eastAsia="仿宋" w:cs="Times New Roman"/>
                <w:b w:val="0"/>
                <w:bCs w:val="0"/>
                <w:color w:val="auto"/>
                <w:kern w:val="0"/>
                <w:sz w:val="24"/>
                <w:szCs w:val="24"/>
                <w:lang w:val="en-US" w:eastAsia="zh-CN"/>
              </w:rPr>
              <w:t>2.5</w:t>
            </w:r>
          </w:p>
        </w:tc>
        <w:tc>
          <w:tcPr>
            <w:tcW w:w="1952"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0</w:t>
            </w:r>
          </w:p>
        </w:tc>
      </w:tr>
      <w:tr>
        <w:tblPrEx>
          <w:tblCellMar>
            <w:top w:w="0" w:type="dxa"/>
            <w:left w:w="108" w:type="dxa"/>
            <w:bottom w:w="0" w:type="dxa"/>
            <w:right w:w="108" w:type="dxa"/>
          </w:tblCellMar>
        </w:tblPrEx>
        <w:trPr>
          <w:trHeight w:val="283" w:hRule="atLeast"/>
          <w:jc w:val="center"/>
        </w:trPr>
        <w:tc>
          <w:tcPr>
            <w:tcW w:w="331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lang w:val="en-US" w:eastAsia="zh-CN" w:bidi="ar"/>
              </w:rPr>
              <w:t>1</w:t>
            </w:r>
            <w:r>
              <w:rPr>
                <w:rFonts w:hint="eastAsia" w:ascii="Times New Roman" w:hAnsi="Times New Roman" w:eastAsia="仿宋" w:cs="Times New Roman"/>
                <w:kern w:val="0"/>
                <w:sz w:val="24"/>
                <w:szCs w:val="24"/>
                <w:lang w:val="en-US" w:eastAsia="zh-CN" w:bidi="ar"/>
              </w:rPr>
              <w:t>4</w:t>
            </w:r>
            <w:r>
              <w:rPr>
                <w:rFonts w:hint="default" w:ascii="Times New Roman" w:hAnsi="Times New Roman" w:eastAsia="仿宋" w:cs="Times New Roman"/>
                <w:kern w:val="0"/>
                <w:sz w:val="24"/>
                <w:szCs w:val="24"/>
                <w:lang w:val="en-US" w:eastAsia="zh-CN" w:bidi="ar"/>
              </w:rPr>
              <w:t>.</w:t>
            </w:r>
            <w:r>
              <w:rPr>
                <w:rFonts w:hint="default" w:ascii="仿宋" w:hAnsi="仿宋" w:eastAsia="仿宋" w:cs="仿宋"/>
                <w:kern w:val="0"/>
                <w:sz w:val="24"/>
                <w:szCs w:val="24"/>
                <w:lang w:val="en-US" w:eastAsia="zh-CN" w:bidi="ar"/>
              </w:rPr>
              <w:t>其他商品和服务支出</w:t>
            </w:r>
          </w:p>
        </w:tc>
        <w:tc>
          <w:tcPr>
            <w:tcW w:w="1851"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FF0000"/>
                <w:kern w:val="0"/>
                <w:sz w:val="24"/>
                <w:szCs w:val="24"/>
              </w:rPr>
            </w:pPr>
          </w:p>
        </w:tc>
        <w:tc>
          <w:tcPr>
            <w:tcW w:w="1982"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仿宋" w:cs="Times New Roman"/>
                <w:color w:val="auto"/>
                <w:kern w:val="0"/>
                <w:sz w:val="24"/>
                <w:szCs w:val="24"/>
                <w:lang w:val="en-US" w:eastAsia="zh-CN"/>
              </w:rPr>
            </w:pPr>
          </w:p>
        </w:tc>
        <w:tc>
          <w:tcPr>
            <w:tcW w:w="1952"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仿宋" w:cs="Times New Roman"/>
                <w:color w:val="auto"/>
                <w:kern w:val="0"/>
                <w:sz w:val="24"/>
                <w:szCs w:val="24"/>
                <w:lang w:val="en-US" w:eastAsia="zh-CN"/>
              </w:rPr>
            </w:pPr>
          </w:p>
        </w:tc>
      </w:tr>
      <w:tr>
        <w:tblPrEx>
          <w:tblCellMar>
            <w:top w:w="0" w:type="dxa"/>
            <w:left w:w="108" w:type="dxa"/>
            <w:bottom w:w="0" w:type="dxa"/>
            <w:right w:w="108" w:type="dxa"/>
          </w:tblCellMar>
        </w:tblPrEx>
        <w:trPr>
          <w:trHeight w:val="283"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政府采购金额</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1.24</w:t>
            </w:r>
          </w:p>
        </w:tc>
        <w:tc>
          <w:tcPr>
            <w:tcW w:w="198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3</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 xml:space="preserve"> </w:t>
            </w:r>
          </w:p>
        </w:tc>
      </w:tr>
      <w:tr>
        <w:tblPrEx>
          <w:tblCellMar>
            <w:top w:w="0" w:type="dxa"/>
            <w:left w:w="108" w:type="dxa"/>
            <w:bottom w:w="0" w:type="dxa"/>
            <w:right w:w="108" w:type="dxa"/>
          </w:tblCellMar>
        </w:tblPrEx>
        <w:trPr>
          <w:trHeight w:val="283"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部门整体支出预算调整</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98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p>
        </w:tc>
      </w:tr>
      <w:tr>
        <w:tblPrEx>
          <w:tblCellMar>
            <w:top w:w="0" w:type="dxa"/>
            <w:left w:w="108" w:type="dxa"/>
            <w:bottom w:w="0" w:type="dxa"/>
            <w:right w:w="108" w:type="dxa"/>
          </w:tblCellMar>
        </w:tblPrEx>
        <w:trPr>
          <w:trHeight w:val="283" w:hRule="atLeast"/>
          <w:jc w:val="center"/>
        </w:trPr>
        <w:tc>
          <w:tcPr>
            <w:tcW w:w="331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楼堂馆所控制情况</w:t>
            </w:r>
            <w:r>
              <w:rPr>
                <w:rFonts w:hint="default" w:ascii="Times New Roman" w:hAnsi="Times New Roman" w:eastAsia="仿宋" w:cs="Times New Roman"/>
                <w:b/>
                <w:bCs/>
                <w:kern w:val="0"/>
                <w:sz w:val="24"/>
                <w:szCs w:val="24"/>
              </w:rPr>
              <w:br w:type="textWrapping"/>
            </w:r>
            <w:r>
              <w:rPr>
                <w:rFonts w:hint="default" w:ascii="Times New Roman" w:hAnsi="Times New Roman" w:eastAsia="仿宋" w:cs="Times New Roman"/>
                <w:b/>
                <w:bCs/>
                <w:kern w:val="0"/>
                <w:sz w:val="24"/>
                <w:szCs w:val="24"/>
              </w:rPr>
              <w:t>（</w:t>
            </w:r>
            <w:r>
              <w:rPr>
                <w:rFonts w:hint="eastAsia" w:ascii="Times New Roman" w:hAnsi="Times New Roman" w:eastAsia="仿宋" w:cs="Times New Roman"/>
                <w:b/>
                <w:bCs/>
                <w:kern w:val="0"/>
                <w:sz w:val="24"/>
                <w:szCs w:val="24"/>
                <w:lang w:eastAsia="zh-CN"/>
              </w:rPr>
              <w:t>2018</w:t>
            </w:r>
            <w:r>
              <w:rPr>
                <w:rFonts w:hint="default" w:ascii="Times New Roman" w:hAnsi="Times New Roman" w:eastAsia="仿宋" w:cs="Times New Roman"/>
                <w:b/>
                <w:bCs/>
                <w:kern w:val="0"/>
                <w:sz w:val="24"/>
                <w:szCs w:val="24"/>
              </w:rPr>
              <w:t>年完工项目）</w:t>
            </w:r>
          </w:p>
        </w:tc>
        <w:tc>
          <w:tcPr>
            <w:tcW w:w="110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批复</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规模</w:t>
            </w:r>
            <w:r>
              <w:rPr>
                <w:rFonts w:hint="default" w:ascii="Times New Roman" w:hAnsi="Times New Roman" w:eastAsia="仿宋" w:cs="Times New Roman"/>
                <w:bCs/>
                <w:kern w:val="0"/>
                <w:sz w:val="24"/>
                <w:szCs w:val="24"/>
              </w:rPr>
              <w:br w:type="textWrapping"/>
            </w:r>
            <w:r>
              <w:rPr>
                <w:rFonts w:hint="eastAsia" w:ascii="Times New Roman" w:hAnsi="Times New Roman" w:eastAsia="仿宋" w:cs="Times New Roman"/>
                <w:bCs/>
                <w:kern w:val="0"/>
                <w:sz w:val="24"/>
                <w:szCs w:val="24"/>
                <w:lang w:val="en-US" w:eastAsia="zh-CN"/>
              </w:rPr>
              <w:t>(</w:t>
            </w:r>
            <w:r>
              <w:rPr>
                <w:rFonts w:hint="default" w:ascii="Times New Roman" w:hAnsi="Times New Roman" w:eastAsia="仿宋" w:cs="Times New Roman"/>
                <w:bCs/>
                <w:kern w:val="0"/>
                <w:sz w:val="24"/>
                <w:szCs w:val="24"/>
              </w:rPr>
              <w:t>㎡</w:t>
            </w:r>
            <w:r>
              <w:rPr>
                <w:rFonts w:hint="eastAsia" w:ascii="Times New Roman" w:hAnsi="Times New Roman" w:eastAsia="仿宋" w:cs="Times New Roman"/>
                <w:bCs/>
                <w:kern w:val="0"/>
                <w:sz w:val="24"/>
                <w:szCs w:val="24"/>
                <w:lang w:val="en-US" w:eastAsia="zh-CN"/>
              </w:rPr>
              <w:t>)</w:t>
            </w:r>
          </w:p>
        </w:tc>
        <w:tc>
          <w:tcPr>
            <w:tcW w:w="74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bCs/>
                <w:kern w:val="0"/>
                <w:sz w:val="24"/>
                <w:szCs w:val="24"/>
                <w:lang w:eastAsia="zh-CN"/>
              </w:rPr>
            </w:pPr>
            <w:r>
              <w:rPr>
                <w:rFonts w:hint="default" w:ascii="Times New Roman" w:hAnsi="Times New Roman" w:eastAsia="仿宋" w:cs="Times New Roman"/>
                <w:bCs/>
                <w:kern w:val="0"/>
                <w:sz w:val="24"/>
                <w:szCs w:val="24"/>
              </w:rPr>
              <w:t>实际规模</w:t>
            </w:r>
            <w:r>
              <w:rPr>
                <w:rFonts w:hint="eastAsia" w:ascii="Times New Roman" w:hAnsi="Times New Roman" w:eastAsia="仿宋" w:cs="Times New Roman"/>
                <w:bCs/>
                <w:kern w:val="0"/>
                <w:sz w:val="24"/>
                <w:szCs w:val="24"/>
                <w:lang w:val="en-US" w:eastAsia="zh-CN"/>
              </w:rPr>
              <w:t>(</w:t>
            </w:r>
            <w:r>
              <w:rPr>
                <w:rFonts w:hint="default" w:ascii="Times New Roman" w:hAnsi="Times New Roman" w:eastAsia="仿宋" w:cs="Times New Roman"/>
                <w:bCs/>
                <w:kern w:val="0"/>
                <w:sz w:val="24"/>
                <w:szCs w:val="24"/>
              </w:rPr>
              <w:t>㎡</w:t>
            </w:r>
            <w:r>
              <w:rPr>
                <w:rFonts w:hint="eastAsia" w:ascii="Times New Roman" w:hAnsi="Times New Roman" w:eastAsia="仿宋" w:cs="Times New Roman"/>
                <w:bCs/>
                <w:kern w:val="0"/>
                <w:sz w:val="24"/>
                <w:szCs w:val="24"/>
                <w:lang w:val="en-US" w:eastAsia="zh-CN"/>
              </w:rPr>
              <w:t>)</w:t>
            </w:r>
          </w:p>
        </w:tc>
        <w:tc>
          <w:tcPr>
            <w:tcW w:w="9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规模</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控制率</w:t>
            </w:r>
          </w:p>
        </w:tc>
        <w:tc>
          <w:tcPr>
            <w:tcW w:w="10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预算</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投资</w:t>
            </w:r>
          </w:p>
          <w:p>
            <w:pPr>
              <w:widowControl/>
              <w:jc w:val="center"/>
              <w:rPr>
                <w:rFonts w:hint="eastAsia" w:ascii="Times New Roman" w:hAnsi="Times New Roman" w:eastAsia="仿宋" w:cs="Times New Roman"/>
                <w:bCs/>
                <w:kern w:val="0"/>
                <w:sz w:val="24"/>
                <w:szCs w:val="24"/>
                <w:lang w:eastAsia="zh-CN"/>
              </w:rPr>
            </w:pPr>
            <w:r>
              <w:rPr>
                <w:rFonts w:hint="eastAsia" w:ascii="Times New Roman" w:hAnsi="Times New Roman" w:eastAsia="仿宋" w:cs="Times New Roman"/>
                <w:bCs/>
                <w:kern w:val="0"/>
                <w:sz w:val="24"/>
                <w:szCs w:val="24"/>
                <w:lang w:val="en-US" w:eastAsia="zh-CN"/>
              </w:rPr>
              <w:t>(</w:t>
            </w:r>
            <w:r>
              <w:rPr>
                <w:rFonts w:hint="default" w:ascii="Times New Roman" w:hAnsi="Times New Roman" w:eastAsia="仿宋" w:cs="Times New Roman"/>
                <w:bCs/>
                <w:kern w:val="0"/>
                <w:sz w:val="24"/>
                <w:szCs w:val="24"/>
              </w:rPr>
              <w:t>万元</w:t>
            </w:r>
            <w:r>
              <w:rPr>
                <w:rFonts w:hint="eastAsia" w:ascii="Times New Roman" w:hAnsi="Times New Roman" w:eastAsia="仿宋" w:cs="Times New Roman"/>
                <w:bCs/>
                <w:kern w:val="0"/>
                <w:sz w:val="24"/>
                <w:szCs w:val="24"/>
                <w:lang w:val="en-US" w:eastAsia="zh-CN"/>
              </w:rPr>
              <w:t>)</w:t>
            </w:r>
          </w:p>
        </w:tc>
        <w:tc>
          <w:tcPr>
            <w:tcW w:w="100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实际</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投资</w:t>
            </w:r>
          </w:p>
          <w:p>
            <w:pPr>
              <w:widowControl/>
              <w:jc w:val="center"/>
              <w:rPr>
                <w:rFonts w:hint="eastAsia" w:ascii="Times New Roman" w:hAnsi="Times New Roman" w:eastAsia="仿宋" w:cs="Times New Roman"/>
                <w:bCs/>
                <w:kern w:val="0"/>
                <w:sz w:val="24"/>
                <w:szCs w:val="24"/>
                <w:lang w:eastAsia="zh-CN"/>
              </w:rPr>
            </w:pPr>
            <w:r>
              <w:rPr>
                <w:rFonts w:hint="eastAsia" w:ascii="Times New Roman" w:hAnsi="Times New Roman" w:eastAsia="仿宋" w:cs="Times New Roman"/>
                <w:bCs/>
                <w:kern w:val="0"/>
                <w:sz w:val="24"/>
                <w:szCs w:val="24"/>
                <w:lang w:val="en-US" w:eastAsia="zh-CN"/>
              </w:rPr>
              <w:t>(</w:t>
            </w:r>
            <w:r>
              <w:rPr>
                <w:rFonts w:hint="default" w:ascii="Times New Roman" w:hAnsi="Times New Roman" w:eastAsia="仿宋" w:cs="Times New Roman"/>
                <w:bCs/>
                <w:kern w:val="0"/>
                <w:sz w:val="24"/>
                <w:szCs w:val="24"/>
              </w:rPr>
              <w:t>万元</w:t>
            </w:r>
            <w:r>
              <w:rPr>
                <w:rFonts w:hint="eastAsia" w:ascii="Times New Roman" w:hAnsi="Times New Roman" w:eastAsia="仿宋" w:cs="Times New Roman"/>
                <w:bCs/>
                <w:kern w:val="0"/>
                <w:sz w:val="24"/>
                <w:szCs w:val="24"/>
                <w:lang w:val="en-US" w:eastAsia="zh-CN"/>
              </w:rPr>
              <w:t>)</w:t>
            </w: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投资</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概算</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控制率</w:t>
            </w:r>
          </w:p>
        </w:tc>
      </w:tr>
      <w:tr>
        <w:tblPrEx>
          <w:tblCellMar>
            <w:top w:w="0" w:type="dxa"/>
            <w:left w:w="108" w:type="dxa"/>
            <w:bottom w:w="0" w:type="dxa"/>
            <w:right w:w="108" w:type="dxa"/>
          </w:tblCellMar>
        </w:tblPrEx>
        <w:trPr>
          <w:trHeight w:val="283" w:hRule="atLeast"/>
          <w:jc w:val="center"/>
        </w:trPr>
        <w:tc>
          <w:tcPr>
            <w:tcW w:w="33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p>
        </w:tc>
        <w:tc>
          <w:tcPr>
            <w:tcW w:w="110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p>
        </w:tc>
        <w:tc>
          <w:tcPr>
            <w:tcW w:w="74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p>
        </w:tc>
        <w:tc>
          <w:tcPr>
            <w:tcW w:w="9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p>
        </w:tc>
        <w:tc>
          <w:tcPr>
            <w:tcW w:w="10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p>
        </w:tc>
        <w:tc>
          <w:tcPr>
            <w:tcW w:w="100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p>
        </w:tc>
      </w:tr>
      <w:tr>
        <w:tblPrEx>
          <w:tblCellMar>
            <w:top w:w="0" w:type="dxa"/>
            <w:left w:w="108" w:type="dxa"/>
            <w:bottom w:w="0" w:type="dxa"/>
            <w:right w:w="108" w:type="dxa"/>
          </w:tblCellMar>
        </w:tblPrEx>
        <w:trPr>
          <w:trHeight w:val="283"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厉行节约保障措施</w:t>
            </w:r>
          </w:p>
        </w:tc>
        <w:tc>
          <w:tcPr>
            <w:tcW w:w="5785" w:type="dxa"/>
            <w:gridSpan w:val="6"/>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公务接待严格按公务接待标准、范围执行，杜绝无公函接待、超标准、超范围接待现象发生。</w:t>
            </w:r>
          </w:p>
        </w:tc>
      </w:tr>
    </w:tbl>
    <w:p>
      <w:pPr>
        <w:widowControl/>
        <w:jc w:val="left"/>
        <w:rPr>
          <w:rFonts w:hint="default" w:ascii="Times New Roman" w:hAnsi="Times New Roman" w:eastAsia="仿宋" w:cs="Times New Roman"/>
          <w:kern w:val="0"/>
          <w:sz w:val="24"/>
          <w:szCs w:val="24"/>
        </w:rPr>
      </w:pPr>
    </w:p>
    <w:p>
      <w:r>
        <w:rPr>
          <w:rFonts w:hint="default" w:ascii="Times New Roman" w:hAnsi="Times New Roman" w:eastAsia="仿宋" w:cs="Times New Roman"/>
          <w:kern w:val="0"/>
          <w:sz w:val="24"/>
          <w:szCs w:val="24"/>
        </w:rPr>
        <w:t>说明：“项目支出”需要填报所有项目情况，包括业务工作项目、运行维护项目等；“公用经费”填报基本支出中的一般商品和服务支出。</w:t>
      </w:r>
    </w:p>
    <w:p/>
    <w:p>
      <w:pPr>
        <w:topLinePunct/>
        <w:spacing w:line="600" w:lineRule="exact"/>
        <w:ind w:firstLine="640" w:firstLineChars="200"/>
        <w:rPr>
          <w:rFonts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D5188"/>
    <w:rsid w:val="17892C37"/>
    <w:rsid w:val="2632735F"/>
    <w:rsid w:val="2C6D5188"/>
    <w:rsid w:val="44213E68"/>
    <w:rsid w:val="67F76DC2"/>
    <w:rsid w:val="6EE867FF"/>
    <w:rsid w:val="7C982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2021-06-08T13:11:00Z</dcterms:created>
  <dc:creator>Administrator</dc:creator>
  <cp:lastModifiedBy>Administrator</cp:lastModifiedBy>
  <dcterms:modified xsi:type="dcterms:W3CDTF">2021-06-09T01:13:54Z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