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30" w:lineRule="atLeast"/>
        <w:ind w:firstLine="2030" w:firstLineChars="700"/>
        <w:jc w:val="left"/>
        <w:rPr>
          <w:rFonts w:ascii="Helvetica" w:hAnsi="Helvetica" w:eastAsia="宋体" w:cs="Helvetica"/>
          <w:color w:val="333333"/>
          <w:kern w:val="0"/>
          <w:sz w:val="16"/>
          <w:szCs w:val="16"/>
        </w:rPr>
      </w:pPr>
      <w:r>
        <w:rPr>
          <w:rFonts w:hint="eastAsia" w:ascii="宋体" w:hAnsi="宋体" w:eastAsia="宋体" w:cs="Helvetica"/>
          <w:color w:val="333333"/>
          <w:kern w:val="0"/>
          <w:sz w:val="29"/>
          <w:szCs w:val="29"/>
        </w:rPr>
        <w:t>桃源县畜牧水产事务中心2019年部门</w:t>
      </w:r>
    </w:p>
    <w:p>
      <w:pPr>
        <w:widowControl/>
        <w:spacing w:line="330" w:lineRule="atLeast"/>
        <w:ind w:firstLine="590"/>
        <w:jc w:val="center"/>
        <w:rPr>
          <w:rFonts w:ascii="Helvetica" w:hAnsi="Helvetica" w:eastAsia="宋体" w:cs="Helvetica"/>
          <w:color w:val="333333"/>
          <w:kern w:val="0"/>
          <w:sz w:val="16"/>
          <w:szCs w:val="16"/>
        </w:rPr>
      </w:pPr>
      <w:r>
        <w:rPr>
          <w:rFonts w:hint="eastAsia" w:ascii="宋体" w:hAnsi="宋体" w:eastAsia="宋体" w:cs="Helvetica"/>
          <w:color w:val="333333"/>
          <w:kern w:val="0"/>
          <w:sz w:val="29"/>
          <w:szCs w:val="29"/>
        </w:rPr>
        <w:t>整体支出绩效自评报告</w:t>
      </w:r>
    </w:p>
    <w:p>
      <w:pPr>
        <w:widowControl/>
        <w:spacing w:line="400" w:lineRule="atLeast"/>
        <w:jc w:val="left"/>
        <w:rPr>
          <w:rFonts w:ascii="Helvetica" w:hAnsi="Helvetica" w:eastAsia="宋体" w:cs="Helvetica"/>
          <w:color w:val="333333"/>
          <w:kern w:val="0"/>
          <w:sz w:val="16"/>
          <w:szCs w:val="16"/>
        </w:rPr>
      </w:pPr>
      <w:r>
        <w:rPr>
          <w:rFonts w:hint="eastAsia" w:ascii="宋体" w:hAnsi="宋体" w:eastAsia="宋体" w:cs="Helvetica"/>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Helvetica"/>
          <w:color w:val="333333"/>
          <w:kern w:val="0"/>
          <w:sz w:val="16"/>
          <w:szCs w:val="16"/>
        </w:rPr>
        <w:t>为强化财政支出资金管理，提高财政资金使用效益，根据</w:t>
      </w:r>
      <w:r>
        <w:rPr>
          <w:rFonts w:hint="eastAsia" w:ascii="仿宋_GB2312" w:hAnsi="Helvetica" w:eastAsia="仿宋_GB2312" w:cs="Helvetica"/>
          <w:color w:val="333333"/>
          <w:kern w:val="0"/>
          <w:sz w:val="16"/>
          <w:szCs w:val="16"/>
        </w:rPr>
        <w:t>《桃源县人民代表大会常务委员会关于</w:t>
      </w:r>
      <w:r>
        <w:rPr>
          <w:rFonts w:ascii="Helvetica" w:hAnsi="Helvetica" w:eastAsia="宋体" w:cs="Helvetica"/>
          <w:color w:val="333333"/>
          <w:kern w:val="0"/>
          <w:sz w:val="16"/>
          <w:szCs w:val="16"/>
        </w:rPr>
        <w:t>2019</w:t>
      </w:r>
      <w:r>
        <w:rPr>
          <w:rFonts w:hint="eastAsia" w:ascii="仿宋_GB2312" w:hAnsi="Helvetica" w:eastAsia="仿宋_GB2312" w:cs="Helvetica"/>
          <w:color w:val="333333"/>
          <w:kern w:val="0"/>
          <w:sz w:val="16"/>
          <w:szCs w:val="16"/>
        </w:rPr>
        <w:t>年预算绩效管理工作情况报告的审议意见》（桃人常发〔</w:t>
      </w:r>
      <w:r>
        <w:rPr>
          <w:rFonts w:ascii="Helvetica" w:hAnsi="Helvetica" w:eastAsia="宋体" w:cs="Helvetica"/>
          <w:color w:val="333333"/>
          <w:kern w:val="0"/>
          <w:sz w:val="16"/>
          <w:szCs w:val="16"/>
        </w:rPr>
        <w:t>2020</w:t>
      </w:r>
      <w:r>
        <w:rPr>
          <w:rFonts w:hint="eastAsia" w:ascii="仿宋_GB2312" w:hAnsi="Helvetica" w:eastAsia="仿宋_GB2312" w:cs="Helvetica"/>
          <w:color w:val="333333"/>
          <w:kern w:val="0"/>
          <w:sz w:val="16"/>
          <w:szCs w:val="16"/>
        </w:rPr>
        <w:t>〕</w:t>
      </w:r>
      <w:r>
        <w:rPr>
          <w:rFonts w:ascii="Helvetica" w:hAnsi="Helvetica" w:eastAsia="宋体" w:cs="Helvetica"/>
          <w:color w:val="333333"/>
          <w:kern w:val="0"/>
          <w:sz w:val="16"/>
          <w:szCs w:val="16"/>
        </w:rPr>
        <w:t>2</w:t>
      </w:r>
      <w:r>
        <w:rPr>
          <w:rFonts w:hint="eastAsia" w:ascii="仿宋_GB2312" w:hAnsi="Helvetica" w:eastAsia="仿宋_GB2312" w:cs="Helvetica"/>
          <w:color w:val="333333"/>
          <w:kern w:val="0"/>
          <w:sz w:val="16"/>
          <w:szCs w:val="16"/>
        </w:rPr>
        <w:t>号）等文件精神，</w:t>
      </w:r>
      <w:r>
        <w:rPr>
          <w:rFonts w:hint="eastAsia" w:ascii="仿宋" w:hAnsi="仿宋" w:eastAsia="仿宋" w:cs="Helvetica"/>
          <w:color w:val="333333"/>
          <w:kern w:val="0"/>
          <w:sz w:val="16"/>
          <w:szCs w:val="16"/>
        </w:rPr>
        <w:t>我们对2019年度桃源县畜牧水产事务中心部门整体支出进行了绩效评价，形成本报告。</w:t>
      </w:r>
    </w:p>
    <w:p>
      <w:pPr>
        <w:widowControl/>
        <w:spacing w:line="400" w:lineRule="atLeast"/>
        <w:jc w:val="left"/>
        <w:rPr>
          <w:rFonts w:ascii="Helvetica" w:hAnsi="Helvetica" w:eastAsia="宋体" w:cs="Helvetica"/>
          <w:color w:val="333333"/>
          <w:kern w:val="0"/>
          <w:sz w:val="16"/>
          <w:szCs w:val="16"/>
        </w:rPr>
      </w:pPr>
      <w:r>
        <w:rPr>
          <w:rFonts w:hint="eastAsia" w:ascii="黑体" w:hAnsi="黑体" w:eastAsia="黑体" w:cs="Helvetica"/>
          <w:color w:val="333333"/>
          <w:kern w:val="0"/>
          <w:sz w:val="16"/>
          <w:szCs w:val="16"/>
        </w:rPr>
        <w:t>　　一、单位概况</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（一） 机构、人员构成。</w:t>
      </w:r>
      <w:r>
        <w:rPr>
          <w:rFonts w:hint="eastAsia" w:ascii="仿宋" w:hAnsi="仿宋" w:eastAsia="仿宋" w:cs="Helvetica"/>
          <w:color w:val="333333"/>
          <w:kern w:val="0"/>
          <w:sz w:val="16"/>
          <w:szCs w:val="16"/>
        </w:rPr>
        <w:t>我单位是行使全县畜牧水产养殖业及畜禽水产品质量安全监管、动物疫病防控等工作职能的管理机构，内设办公室、人事股、计划财务股、法制股、畜牧水产股、科技教育股、兽医药政股等7个股室。下属桃源县动物卫生监督所、桃源县动物疾病预防控制中心、桃源县渔政管理站、桃源县畜牧兽医水产技术推广站、桃源县鱼苗鱼种场、桃源县畜禽水产品质量安全检验检测中心等8个单位，桃源县畜牧水产事务中心属参照公务员管理的全额拨款事业单位。本单位2019年底拥有编制76名（行政编制15名，事业编制61名），实有人员57人，其中行政人员15人，事业人员41人，离休人员1人。</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（二）单位主要职责</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 组织实施《中华人民共和国动物防疫法》、《中华人民共和国渔业法》、《中华人民共和国畜牧法》、《中华人民共和国草原法》、《种畜禽管理条例》、《兽药管理条例》、《饲料和饲料添加剂管理条例》、《乳品质量安全简答管理条例》、《重大动物疫情应急条例》、《水产苗种管理办法》、《中华人民共和国渔港水域交通安全管理条例》、《湖南省实施〈中华人民共和国动物防疫法〉办法》、《湖南省渔业调理》、《湖南省水产苗种管理办法》、《渔业行政处罚规定》等法律法规。</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2. 拟订全县畜牧业和水产业发展战略、中长期发展规划、年度指导性计划，经批准后组织实施。</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3. 提出全县畜牧业、水产业发展政策建议，引导产业结构合理调整和资源合理配置；参与拟订畜牧业和水产业规范性文件草案。</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4. 拟订全县畜牧业、水产业产业化发展规划，推进产前、产中、产后一体化；提出全县畜牧业、水产业产品加工业发展建议；预测并发布畜牧业和水产业生产资料、产品供求情况等经济信息，指导行业信息网络建设。</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5. 拟订全县畜牧业、水产业科技发展规划；组织重大科研和技术推广；指导畜牧水产技术推广体系建设；参与拟订地方性畜牧业和渔业种苗、产品、兽药、饲料及饲料添加剂质量标准和技术标准，经批准后监督执行。</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6. 负责全县畜禽水产品质量安全认定以及畜禽水产品市场准入质量认证。</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7. 负责全县种畜禽、水产种苗、兽药、兽医医疗器械、饲料级饲料添加剂的质量检测、鉴定和执法监督管理。</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8. 负责地方畜禽、水产品种资源保护与开发利用，负责畜产资源、草地资源保护、开发利用和监督管理。</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9. 负责实施全县动物及动物产品的检疫，并组织开展检疫执法；依法查处兽医违法行为；依法查处兽药饲料生产、经营、使用的违法行为；依法查处质量安全违法行为；负责单位防疫检疫体系建设和管理；负责养殖大户防疫检疫监管；负责全县畜牧兽医综合执法工作；负责全县渔业行政执法监督管理，保护渔业资源；负责渔业水域生态环境及水生野生动物保护。</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10. 按照有关规定，负责全县兽医医政、兽药药政药检工作，承担单位及动物产品（水产品）检疫（不含出入境口岸动物检疫）和动物防疫及其监督、监测、预报，组织实施疫病的控制与扑灭。</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11. 按照权限监督管理畜牧业、水产业专项资金，提出专项资金安排计划，组织畜牧业和水产业重大项目的申报、审核。</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12. 编制饲料工业中长期规划和年度计划；负责对全县饲料工业的宏观指导和监督管理。</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13. 承办县委、县政府交办的其他事项。</w:t>
      </w:r>
    </w:p>
    <w:p>
      <w:pPr>
        <w:widowControl/>
        <w:spacing w:line="400" w:lineRule="atLeast"/>
        <w:ind w:firstLine="430"/>
        <w:jc w:val="left"/>
        <w:rPr>
          <w:rFonts w:ascii="Helvetica" w:hAnsi="Helvetica" w:eastAsia="宋体" w:cs="Helvetica"/>
          <w:color w:val="333333"/>
          <w:kern w:val="0"/>
          <w:sz w:val="16"/>
          <w:szCs w:val="16"/>
        </w:rPr>
      </w:pPr>
      <w:r>
        <w:rPr>
          <w:rFonts w:hint="eastAsia" w:ascii="黑体" w:hAnsi="黑体" w:eastAsia="黑体" w:cs="Helvetica"/>
          <w:color w:val="333333"/>
          <w:kern w:val="0"/>
          <w:sz w:val="16"/>
          <w:szCs w:val="16"/>
        </w:rPr>
        <w:t>二、 单位财务情况</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（一）部门整体支出情况</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2019年整体支出9485.11万元，其中</w:t>
      </w:r>
      <w:r>
        <w:rPr>
          <w:rFonts w:hint="eastAsia" w:ascii="仿宋" w:hAnsi="仿宋" w:eastAsia="仿宋" w:cs="Helvetica"/>
          <w:color w:val="333333"/>
          <w:kern w:val="0"/>
          <w:sz w:val="16"/>
          <w:szCs w:val="16"/>
        </w:rPr>
        <w:t>基本支出908.7万元（工资福利支出744.87万元、对个人和家庭补助支出11.4万元、商品服务支出 152.43万元）；项目支出8576.41万元。</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（二）部门预算收支决算情况</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年度收支决算情况。本单位 2019年度收入13521.38万元，上年结转883.69万元，支出9485.11万元,收支结余4919.96万元。</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收入决算。2019年度收入决算数14405.07万元。其中，公共预算财政拨款收入13243.46万元，政府性基金收入35.89万元，事业收入242.03万元，上年结转883.69万元。</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支出决算。2019年度支出决算数14405.07万元。其中：公共预算财政拨款支出9485.11万元，结转下年4919.96万元。</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（三）“三公经费”支出使用和管理情况</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2019 年度公共预算财政拨款“三公”经费支出28.7万元，比上年减少 0.3万元</w:t>
      </w:r>
      <w:r>
        <w:rPr>
          <w:rFonts w:ascii="仿宋" w:hAnsi="仿宋" w:eastAsia="仿宋" w:cs="Helvetica"/>
          <w:color w:val="333333"/>
          <w:kern w:val="0"/>
          <w:sz w:val="16"/>
          <w:szCs w:val="16"/>
        </w:rPr>
        <w:drawing>
          <wp:inline distT="0" distB="0" distL="0" distR="0">
            <wp:extent cx="82550" cy="152400"/>
            <wp:effectExtent l="0" t="0" r="0" b="0"/>
            <wp:docPr id="1" name="图片 1" descr="https://www.taoyuan.gov.cn/Admin/Content/Asset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taoyuan.gov.cn/Admin/Content/Assets/UEditor/themes/default/images/spacer.gif"/>
                    <pic:cNvPicPr>
                      <a:picLocks noChangeAspect="1" noChangeArrowheads="1"/>
                    </pic:cNvPicPr>
                  </pic:nvPicPr>
                  <pic:blipFill>
                    <a:blip r:embed="rId4"/>
                    <a:srcRect/>
                    <a:stretch>
                      <a:fillRect/>
                    </a:stretch>
                  </pic:blipFill>
                  <pic:spPr>
                    <a:xfrm>
                      <a:off x="0" y="0"/>
                      <a:ext cx="82550" cy="152400"/>
                    </a:xfrm>
                    <a:prstGeom prst="rect">
                      <a:avLst/>
                    </a:prstGeom>
                    <a:noFill/>
                    <a:ln w="9525">
                      <a:noFill/>
                      <a:miter lim="800000"/>
                      <a:headEnd/>
                      <a:tailEnd/>
                    </a:ln>
                  </pic:spPr>
                </pic:pic>
              </a:graphicData>
            </a:graphic>
          </wp:inline>
        </w:drawing>
      </w:r>
      <w:r>
        <w:rPr>
          <w:rFonts w:hint="eastAsia" w:ascii="仿宋" w:hAnsi="仿宋" w:eastAsia="仿宋" w:cs="Helvetica"/>
          <w:color w:val="333333"/>
          <w:kern w:val="0"/>
          <w:sz w:val="16"/>
          <w:szCs w:val="16"/>
        </w:rPr>
        <w:t>。减少的主要原因为强化公务接待和已取消公务车辆，支出严格按政策规定执行。</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管理情况：严格公务接待审批制，严格控制接待标准，严格控制接待陪餐人数。</w:t>
      </w:r>
    </w:p>
    <w:p>
      <w:pPr>
        <w:widowControl/>
        <w:spacing w:line="400" w:lineRule="atLeast"/>
        <w:ind w:firstLine="430"/>
        <w:jc w:val="left"/>
        <w:rPr>
          <w:rFonts w:ascii="Helvetica" w:hAnsi="Helvetica" w:eastAsia="宋体" w:cs="Helvetica"/>
          <w:color w:val="333333"/>
          <w:kern w:val="0"/>
          <w:sz w:val="16"/>
          <w:szCs w:val="16"/>
        </w:rPr>
      </w:pPr>
      <w:r>
        <w:rPr>
          <w:rFonts w:hint="eastAsia" w:ascii="黑体" w:hAnsi="黑体" w:eastAsia="黑体" w:cs="Helvetica"/>
          <w:color w:val="333333"/>
          <w:kern w:val="0"/>
          <w:sz w:val="16"/>
          <w:szCs w:val="16"/>
        </w:rPr>
        <w:t>三、部门绩效目标</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(一） 部门绩效总目标</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 常年开展重大动物疫病防控，重点开展了非洲猪瘟防控工作。</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2. 常年指导全县畜牧水产养殖健康稳步发展；</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3. 常年开展畜禽水产品质量安全监管工作，确保不发生畜禽水产品质量安全事故，保证全县人民生命健康；</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4. 常年开展渔政执法，保证沅江流域渔业资源得到有效保护，不出现电鱼、毒鱼现象；</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5. 进行畜禽水产品种质资源保护；</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6. 开展产业扶贫。</w:t>
      </w:r>
    </w:p>
    <w:p>
      <w:pPr>
        <w:widowControl/>
        <w:spacing w:line="400" w:lineRule="atLeast"/>
        <w:ind w:firstLine="430"/>
        <w:jc w:val="left"/>
        <w:rPr>
          <w:rFonts w:ascii="Helvetica" w:hAnsi="Helvetica" w:eastAsia="宋体" w:cs="Helvetica"/>
          <w:color w:val="333333"/>
          <w:kern w:val="0"/>
          <w:sz w:val="16"/>
          <w:szCs w:val="16"/>
        </w:rPr>
      </w:pPr>
      <w:r>
        <w:rPr>
          <w:rFonts w:hint="eastAsia" w:ascii="楷体" w:hAnsi="楷体" w:eastAsia="楷体" w:cs="Helvetica"/>
          <w:color w:val="333333"/>
          <w:kern w:val="0"/>
          <w:sz w:val="16"/>
          <w:szCs w:val="16"/>
        </w:rPr>
        <w:t>（二） 2019年度部门绩效目标</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 强化重大动物疫病防控，免疫密度达100%；</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2. 畜禽水产品质量全县监管；</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3. 加快现代养殖产业发展，争取畜禽水产品规模养殖场达3750户，其中存栏生猪100头以上的规模户1085家，存笼蛋鸡1000羽以上的规模蛋鸡场1320家，存栏母牛10以上的规模户280家，出栏山羊100只以上的规模羊场315家，养殖水面20亩以上的规模水产场750家，生猪、蛋鸡、牛、羊规模化率分别提高到55%、100%、21%和18%；</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4. 强化渔业资源养护开展人工放流，投入资金30万元投放春片、夏花、大规格四大家鱼1500万尾，加大非法打击捕捞力度，渔政执法常年坚持；</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5. 强化地方特色品种保护与开发，进行桃源黑猪产业园的建设，桃源黑猪核心群母猪达到300头，年出栏桃源黑猪6000头。桃源鸡持续开展保种工作，持续保持桃源鸡核心群母鸡500羽、公鸡50羽（15个家系）；</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6. 在龙潭、佘家坪、牛车河3个乡镇20个贫困村开展桃源黑猪产业扶贫。</w:t>
      </w:r>
    </w:p>
    <w:p>
      <w:pPr>
        <w:widowControl/>
        <w:spacing w:line="400" w:lineRule="atLeast"/>
        <w:jc w:val="left"/>
        <w:rPr>
          <w:rFonts w:ascii="Helvetica" w:hAnsi="Helvetica" w:eastAsia="宋体" w:cs="Helvetica"/>
          <w:color w:val="333333"/>
          <w:kern w:val="0"/>
          <w:sz w:val="16"/>
          <w:szCs w:val="16"/>
        </w:rPr>
      </w:pPr>
      <w:r>
        <w:rPr>
          <w:rFonts w:hint="eastAsia" w:ascii="黑体" w:hAnsi="黑体" w:eastAsia="黑体" w:cs="Helvetica"/>
          <w:color w:val="000000"/>
          <w:kern w:val="0"/>
          <w:sz w:val="16"/>
          <w:szCs w:val="16"/>
        </w:rPr>
        <w:t>　　四、部门绩效评价工作情况</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000000"/>
          <w:kern w:val="0"/>
          <w:sz w:val="16"/>
          <w:szCs w:val="16"/>
        </w:rPr>
        <w:t>我单位接到财政局通知后，成立了评价小组，结合项目实际情况制定了绩效评价方案。评价实施过程中根据通知</w:t>
      </w:r>
      <w:r>
        <w:rPr>
          <w:rFonts w:hint="eastAsia" w:ascii="仿宋" w:hAnsi="仿宋" w:eastAsia="仿宋" w:cs="Helvetica"/>
          <w:color w:val="333333"/>
          <w:kern w:val="0"/>
          <w:sz w:val="16"/>
          <w:szCs w:val="16"/>
        </w:rPr>
        <w:t>，经过收集资料、问卷调查、综合分析等程序后，形成本绩效自评报告。</w:t>
      </w:r>
    </w:p>
    <w:p>
      <w:pPr>
        <w:widowControl/>
        <w:spacing w:line="400" w:lineRule="atLeast"/>
        <w:jc w:val="left"/>
        <w:rPr>
          <w:rFonts w:ascii="Helvetica" w:hAnsi="Helvetica" w:eastAsia="宋体" w:cs="Helvetica"/>
          <w:color w:val="333333"/>
          <w:kern w:val="0"/>
          <w:sz w:val="16"/>
          <w:szCs w:val="16"/>
        </w:rPr>
      </w:pPr>
      <w:r>
        <w:rPr>
          <w:rFonts w:hint="eastAsia" w:ascii="黑体" w:hAnsi="黑体" w:eastAsia="黑体" w:cs="Helvetica"/>
          <w:color w:val="000000"/>
          <w:kern w:val="0"/>
          <w:sz w:val="16"/>
          <w:szCs w:val="16"/>
        </w:rPr>
        <w:t>　　五、综合评价结果</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000000"/>
          <w:kern w:val="0"/>
          <w:sz w:val="16"/>
          <w:szCs w:val="16"/>
        </w:rPr>
        <w:t>经综合评价，</w:t>
      </w:r>
      <w:r>
        <w:rPr>
          <w:rFonts w:hint="eastAsia" w:ascii="仿宋" w:hAnsi="仿宋" w:eastAsia="仿宋" w:cs="Helvetica"/>
          <w:color w:val="333333"/>
          <w:kern w:val="0"/>
          <w:sz w:val="16"/>
          <w:szCs w:val="16"/>
        </w:rPr>
        <w:t>桃源县畜牧水产事务中心</w:t>
      </w:r>
      <w:r>
        <w:rPr>
          <w:rFonts w:hint="eastAsia" w:ascii="仿宋" w:hAnsi="仿宋" w:eastAsia="仿宋" w:cs="Helvetica"/>
          <w:color w:val="000000"/>
          <w:kern w:val="0"/>
          <w:sz w:val="16"/>
          <w:szCs w:val="16"/>
        </w:rPr>
        <w:t xml:space="preserve">2019年部门整体支出绩效评价得分98分，等级为“ 优 ”。具体评分情况见附件。 </w:t>
      </w:r>
    </w:p>
    <w:p>
      <w:pPr>
        <w:widowControl/>
        <w:spacing w:line="400" w:lineRule="atLeast"/>
        <w:jc w:val="left"/>
        <w:rPr>
          <w:rFonts w:ascii="Helvetica" w:hAnsi="Helvetica" w:eastAsia="宋体" w:cs="Helvetica"/>
          <w:color w:val="333333"/>
          <w:kern w:val="0"/>
          <w:sz w:val="16"/>
          <w:szCs w:val="16"/>
        </w:rPr>
      </w:pPr>
      <w:r>
        <w:rPr>
          <w:rFonts w:hint="eastAsia" w:ascii="黑体" w:hAnsi="黑体" w:eastAsia="黑体" w:cs="Helvetica"/>
          <w:color w:val="333333"/>
          <w:kern w:val="0"/>
          <w:sz w:val="16"/>
          <w:szCs w:val="16"/>
        </w:rPr>
        <w:t>　　六、部门整体支出绩效情况</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1. 项目建成后全县养殖业成效显著。畜牧水产总量增长。据统计全县出栏生猪、牛、羊分别为115.28万只、4.75万头、82.85万只(统计口径），同比分别增长3.42%、保持不变、基本不变；出笼禽3059.3万羽，同比增长0.29%，禽蛋产量13.14万吨，同比增长-0.18%，蛋鸡饲养量1017.8</w:t>
      </w:r>
      <w:r>
        <w:rPr>
          <w:rFonts w:hint="eastAsia" w:ascii="仿宋" w:hAnsi="仿宋" w:eastAsia="仿宋" w:cs="Helvetica"/>
          <w:color w:val="333300"/>
          <w:kern w:val="0"/>
          <w:sz w:val="16"/>
          <w:szCs w:val="16"/>
        </w:rPr>
        <w:t>万羽，</w:t>
      </w:r>
      <w:r>
        <w:rPr>
          <w:rFonts w:hint="eastAsia" w:ascii="仿宋" w:hAnsi="仿宋" w:eastAsia="仿宋" w:cs="Helvetica"/>
          <w:color w:val="333333"/>
          <w:kern w:val="0"/>
          <w:sz w:val="16"/>
          <w:szCs w:val="16"/>
        </w:rPr>
        <w:t>同比增长0.05%；起水水产品43315吨，同比增长0.27%。全县实现畜牧水产业总产值572028万元。</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2. 畜禽水产品质量安全监管工作有成效，全年始终抓住源头、生产、流通关键环节监管，确保了全县未发生重大畜禽水产品质量安全事故。</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3. 养殖污染治理工作进展快。151户规模猪场实现达标排放，367户规模蛋鸡场鸡粪规范处理。</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4. 常年开展渔业资源保护及渔政执法工作，沅江流域电鱼毒鱼现象得到控制,沅江流域十年禁捕工作开始启动。</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5. 地方品种资源保护及开发工作成效显著。华星黑猪合作社及惠生公司正在进行桃源黑猪的保护及开发工作。</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6. 根据县委安排，局联系牛车河镇北斗溪村、三洪溪村，佘家坪乡龙阳坪村、三圣殿村共帮联贫困户63名，局21名干部与贫困户结成对子，定期走访慰问、全年为贫困家庭送去慰问金6万元。全年安排资金50万元扶持扶贫点村基础设施建设，扶持牛车河北斗溪村、三洪村、佘家坪龙阳坪村、三圣殿村发展。</w:t>
      </w:r>
    </w:p>
    <w:p>
      <w:pPr>
        <w:widowControl/>
        <w:spacing w:line="400" w:lineRule="atLeast"/>
        <w:jc w:val="left"/>
        <w:rPr>
          <w:rFonts w:ascii="Helvetica" w:hAnsi="Helvetica" w:eastAsia="宋体" w:cs="Helvetica"/>
          <w:color w:val="333333"/>
          <w:kern w:val="0"/>
          <w:sz w:val="16"/>
          <w:szCs w:val="16"/>
        </w:rPr>
      </w:pPr>
      <w:r>
        <w:rPr>
          <w:rFonts w:hint="eastAsia" w:ascii="黑体" w:hAnsi="黑体" w:eastAsia="黑体" w:cs="Helvetica"/>
          <w:color w:val="333333"/>
          <w:kern w:val="0"/>
          <w:sz w:val="16"/>
          <w:szCs w:val="16"/>
        </w:rPr>
        <w:t>　　七、存在的主要问题</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全年开展重大动物疫病防控及畜禽水产品质量安全监管工作经费缺口很大，只能由我局多方筹措资金解决。</w:t>
      </w:r>
    </w:p>
    <w:p>
      <w:pPr>
        <w:widowControl/>
        <w:spacing w:line="400" w:lineRule="atLeast"/>
        <w:jc w:val="left"/>
        <w:rPr>
          <w:rFonts w:ascii="Helvetica" w:hAnsi="Helvetica" w:eastAsia="宋体" w:cs="Helvetica"/>
          <w:color w:val="333333"/>
          <w:kern w:val="0"/>
          <w:sz w:val="16"/>
          <w:szCs w:val="16"/>
        </w:rPr>
      </w:pPr>
      <w:r>
        <w:rPr>
          <w:rFonts w:hint="eastAsia" w:ascii="黑体" w:hAnsi="黑体" w:eastAsia="黑体" w:cs="Helvetica"/>
          <w:color w:val="333333"/>
          <w:kern w:val="0"/>
          <w:sz w:val="16"/>
          <w:szCs w:val="16"/>
        </w:rPr>
        <w:t>　　八、有关建议</w:t>
      </w:r>
    </w:p>
    <w:p>
      <w:pPr>
        <w:widowControl/>
        <w:spacing w:line="400" w:lineRule="atLeast"/>
        <w:ind w:firstLine="430"/>
        <w:jc w:val="left"/>
        <w:rPr>
          <w:rFonts w:ascii="Helvetica" w:hAnsi="Helvetica" w:eastAsia="宋体" w:cs="Helvetica"/>
          <w:color w:val="333333"/>
          <w:kern w:val="0"/>
          <w:sz w:val="16"/>
          <w:szCs w:val="16"/>
        </w:rPr>
      </w:pPr>
      <w:r>
        <w:rPr>
          <w:rFonts w:hint="eastAsia" w:ascii="仿宋" w:hAnsi="仿宋" w:eastAsia="仿宋" w:cs="Helvetica"/>
          <w:color w:val="333333"/>
          <w:kern w:val="0"/>
          <w:sz w:val="16"/>
          <w:szCs w:val="16"/>
        </w:rPr>
        <w:t>建议县政府全额保障我单位畜牧水产专项经费，减轻我单位工作压力，全心全意投入到各项工作中，保证我县畜牧水产各项工作的顺利完成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p>
    <w:p>
      <w:pPr>
        <w:widowControl/>
        <w:spacing w:line="400" w:lineRule="atLeast"/>
        <w:ind w:firstLine="43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r>
        <w:rPr>
          <w:rFonts w:hint="eastAsia" w:ascii="仿宋" w:hAnsi="仿宋" w:eastAsia="仿宋" w:cs="仿宋"/>
          <w:color w:val="333333"/>
          <w:kern w:val="0"/>
          <w:sz w:val="16"/>
          <w:szCs w:val="16"/>
        </w:rPr>
        <w:t xml:space="preserve"> </w:t>
      </w: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ind w:firstLine="2770"/>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30" w:lineRule="atLeast"/>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20" w:lineRule="atLeast"/>
        <w:jc w:val="center"/>
        <w:rPr>
          <w:rFonts w:ascii="Helvetica" w:hAnsi="Helvetica" w:eastAsia="宋体" w:cs="Helvetica"/>
          <w:color w:val="333333"/>
          <w:kern w:val="0"/>
          <w:sz w:val="16"/>
          <w:szCs w:val="16"/>
        </w:rPr>
      </w:pPr>
      <w:r>
        <w:rPr>
          <w:rFonts w:hint="eastAsia" w:ascii="方正小标宋_GBK" w:hAnsi="Helvetica" w:eastAsia="方正小标宋_GBK" w:cs="Helvetica"/>
          <w:color w:val="333333"/>
          <w:kern w:val="0"/>
          <w:sz w:val="24"/>
          <w:szCs w:val="24"/>
        </w:rPr>
        <w:t>部门整体支出绩效评价指标表</w:t>
      </w:r>
    </w:p>
    <w:tbl>
      <w:tblPr>
        <w:tblStyle w:val="6"/>
        <w:tblW w:w="7650" w:type="dxa"/>
        <w:tblInd w:w="0" w:type="dxa"/>
        <w:tblLayout w:type="autofit"/>
        <w:tblCellMar>
          <w:top w:w="0" w:type="dxa"/>
          <w:left w:w="0" w:type="dxa"/>
          <w:bottom w:w="0" w:type="dxa"/>
          <w:right w:w="0" w:type="dxa"/>
        </w:tblCellMar>
      </w:tblPr>
      <w:tblGrid>
        <w:gridCol w:w="6523"/>
        <w:gridCol w:w="210"/>
        <w:gridCol w:w="187"/>
        <w:gridCol w:w="210"/>
        <w:gridCol w:w="233"/>
        <w:gridCol w:w="210"/>
        <w:gridCol w:w="326"/>
        <w:gridCol w:w="350"/>
        <w:gridCol w:w="197"/>
      </w:tblGrid>
      <w:tr>
        <w:tblPrEx>
          <w:tblCellMar>
            <w:top w:w="0" w:type="dxa"/>
            <w:left w:w="0" w:type="dxa"/>
            <w:bottom w:w="0" w:type="dxa"/>
            <w:right w:w="0" w:type="dxa"/>
          </w:tblCellMar>
        </w:tblPrEx>
        <w:trPr>
          <w:tblHeader/>
        </w:trPr>
        <w:tc>
          <w:tcPr>
            <w:tcW w:w="450" w:type="dxa"/>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一级指标</w:t>
            </w:r>
          </w:p>
        </w:tc>
        <w:tc>
          <w:tcPr>
            <w:tcW w:w="34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分值</w:t>
            </w:r>
          </w:p>
        </w:tc>
        <w:tc>
          <w:tcPr>
            <w:tcW w:w="44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二级指标</w:t>
            </w:r>
          </w:p>
        </w:tc>
        <w:tc>
          <w:tcPr>
            <w:tcW w:w="34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分值</w:t>
            </w:r>
          </w:p>
        </w:tc>
        <w:tc>
          <w:tcPr>
            <w:tcW w:w="72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三级</w:t>
            </w:r>
          </w:p>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指标</w:t>
            </w:r>
          </w:p>
        </w:tc>
        <w:tc>
          <w:tcPr>
            <w:tcW w:w="34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分值</w:t>
            </w:r>
          </w:p>
        </w:tc>
        <w:tc>
          <w:tcPr>
            <w:tcW w:w="192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评价标准</w:t>
            </w:r>
          </w:p>
        </w:tc>
        <w:tc>
          <w:tcPr>
            <w:tcW w:w="221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指标说明</w:t>
            </w:r>
          </w:p>
        </w:tc>
        <w:tc>
          <w:tcPr>
            <w:tcW w:w="41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得分</w:t>
            </w:r>
          </w:p>
        </w:tc>
      </w:tr>
      <w:tr>
        <w:tblPrEx>
          <w:tblCellMar>
            <w:top w:w="0" w:type="dxa"/>
            <w:left w:w="0" w:type="dxa"/>
            <w:bottom w:w="0" w:type="dxa"/>
            <w:right w:w="0" w:type="dxa"/>
          </w:tblCellMar>
        </w:tblPrEx>
        <w:trPr>
          <w:trHeight w:val="1210" w:hRule="atLeast"/>
        </w:trPr>
        <w:tc>
          <w:tcPr>
            <w:tcW w:w="45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投入</w:t>
            </w:r>
          </w:p>
        </w:tc>
        <w:tc>
          <w:tcPr>
            <w:tcW w:w="3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13</w:t>
            </w:r>
          </w:p>
        </w:tc>
        <w:tc>
          <w:tcPr>
            <w:tcW w:w="440"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预算配置</w:t>
            </w:r>
          </w:p>
        </w:tc>
        <w:tc>
          <w:tcPr>
            <w:tcW w:w="3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13</w:t>
            </w: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在职人员控制率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5</w:t>
            </w:r>
          </w:p>
        </w:tc>
        <w:tc>
          <w:tcPr>
            <w:tcW w:w="1920" w:type="dxa"/>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以</w:t>
            </w:r>
            <w:r>
              <w:rPr>
                <w:rFonts w:ascii="宋体" w:hAnsi="宋体" w:eastAsia="宋体" w:cs="宋体"/>
                <w:kern w:val="0"/>
                <w:sz w:val="13"/>
                <w:szCs w:val="13"/>
              </w:rPr>
              <w:t>100%</w:t>
            </w:r>
            <w:r>
              <w:rPr>
                <w:rFonts w:hint="eastAsia" w:ascii="仿宋_GB2312" w:hAnsi="宋体" w:eastAsia="仿宋_GB2312" w:cs="宋体"/>
                <w:kern w:val="0"/>
                <w:sz w:val="13"/>
                <w:szCs w:val="13"/>
              </w:rPr>
              <w:t>为标准。在职人员控制率≦</w:t>
            </w:r>
            <w:r>
              <w:rPr>
                <w:rFonts w:ascii="宋体" w:hAnsi="宋体" w:eastAsia="宋体" w:cs="宋体"/>
                <w:kern w:val="0"/>
                <w:sz w:val="13"/>
                <w:szCs w:val="13"/>
              </w:rPr>
              <w:t>100%</w:t>
            </w:r>
            <w:r>
              <w:rPr>
                <w:rFonts w:hint="eastAsia" w:ascii="仿宋_GB2312" w:hAnsi="宋体" w:eastAsia="仿宋_GB2312" w:cs="宋体"/>
                <w:kern w:val="0"/>
                <w:sz w:val="13"/>
                <w:szCs w:val="13"/>
              </w:rPr>
              <w:t>，计</w:t>
            </w:r>
            <w:r>
              <w:rPr>
                <w:rFonts w:ascii="宋体" w:hAnsi="宋体" w:eastAsia="宋体" w:cs="宋体"/>
                <w:kern w:val="0"/>
                <w:sz w:val="13"/>
                <w:szCs w:val="13"/>
              </w:rPr>
              <w:t>5</w:t>
            </w:r>
            <w:r>
              <w:rPr>
                <w:rFonts w:hint="eastAsia" w:ascii="仿宋_GB2312" w:hAnsi="宋体" w:eastAsia="仿宋_GB2312" w:cs="宋体"/>
                <w:kern w:val="0"/>
                <w:sz w:val="13"/>
                <w:szCs w:val="13"/>
              </w:rPr>
              <w:t>分；每超过一个百分点扣</w:t>
            </w:r>
            <w:r>
              <w:rPr>
                <w:rFonts w:ascii="宋体" w:hAnsi="宋体" w:eastAsia="宋体" w:cs="宋体"/>
                <w:kern w:val="0"/>
                <w:sz w:val="13"/>
                <w:szCs w:val="13"/>
              </w:rPr>
              <w:t>0.5</w:t>
            </w:r>
            <w:r>
              <w:rPr>
                <w:rFonts w:hint="eastAsia" w:ascii="仿宋_GB2312" w:hAnsi="宋体" w:eastAsia="仿宋_GB2312" w:cs="宋体"/>
                <w:kern w:val="0"/>
                <w:sz w:val="13"/>
                <w:szCs w:val="13"/>
              </w:rPr>
              <w:t>分，扣完为止。</w:t>
            </w:r>
          </w:p>
        </w:tc>
        <w:tc>
          <w:tcPr>
            <w:tcW w:w="221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在职人员控制率</w:t>
            </w:r>
            <w:r>
              <w:rPr>
                <w:rFonts w:ascii="宋体" w:hAnsi="宋体" w:eastAsia="宋体" w:cs="宋体"/>
                <w:kern w:val="0"/>
                <w:sz w:val="13"/>
                <w:szCs w:val="13"/>
              </w:rPr>
              <w:t>=</w:t>
            </w:r>
            <w:r>
              <w:rPr>
                <w:rFonts w:hint="eastAsia" w:ascii="仿宋_GB2312" w:hAnsi="宋体" w:eastAsia="仿宋_GB2312" w:cs="宋体"/>
                <w:kern w:val="0"/>
                <w:sz w:val="13"/>
                <w:szCs w:val="13"/>
              </w:rPr>
              <w:t>（在职人员数</w:t>
            </w:r>
            <w:r>
              <w:rPr>
                <w:rFonts w:ascii="宋体" w:hAnsi="宋体" w:eastAsia="宋体" w:cs="宋体"/>
                <w:kern w:val="0"/>
                <w:sz w:val="13"/>
                <w:szCs w:val="13"/>
              </w:rPr>
              <w:t>/</w:t>
            </w:r>
            <w:r>
              <w:rPr>
                <w:rFonts w:hint="eastAsia" w:ascii="仿宋_GB2312" w:hAnsi="宋体" w:eastAsia="仿宋_GB2312" w:cs="宋体"/>
                <w:kern w:val="0"/>
                <w:sz w:val="13"/>
                <w:szCs w:val="13"/>
              </w:rPr>
              <w:t>编制数）×</w:t>
            </w:r>
            <w:r>
              <w:rPr>
                <w:rFonts w:ascii="宋体" w:hAnsi="宋体" w:eastAsia="宋体" w:cs="宋体"/>
                <w:kern w:val="0"/>
                <w:sz w:val="13"/>
                <w:szCs w:val="13"/>
              </w:rPr>
              <w:t>100%</w:t>
            </w:r>
            <w:r>
              <w:rPr>
                <w:rFonts w:hint="eastAsia" w:ascii="仿宋_GB2312" w:hAnsi="宋体" w:eastAsia="仿宋_GB2312" w:cs="宋体"/>
                <w:kern w:val="0"/>
                <w:sz w:val="13"/>
                <w:szCs w:val="13"/>
              </w:rPr>
              <w:t>，在职人员数：部门（单位）实际在职人数，以财政局确定的部门决算编制口径为准。</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编制数：机构编制部门核定批复的部门（单位）的人员编制数。</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5</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“三公经费”变动率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8</w:t>
            </w:r>
          </w:p>
        </w:tc>
        <w:tc>
          <w:tcPr>
            <w:tcW w:w="192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“三公经费”变动率≦</w:t>
            </w:r>
            <w:r>
              <w:rPr>
                <w:rFonts w:ascii="宋体" w:hAnsi="宋体" w:eastAsia="宋体" w:cs="宋体"/>
                <w:kern w:val="0"/>
                <w:sz w:val="13"/>
                <w:szCs w:val="13"/>
              </w:rPr>
              <w:t>0,</w:t>
            </w:r>
            <w:r>
              <w:rPr>
                <w:rFonts w:hint="eastAsia" w:ascii="仿宋_GB2312" w:hAnsi="宋体" w:eastAsia="仿宋_GB2312" w:cs="宋体"/>
                <w:kern w:val="0"/>
                <w:sz w:val="13"/>
                <w:szCs w:val="13"/>
              </w:rPr>
              <w:t>计</w:t>
            </w:r>
            <w:r>
              <w:rPr>
                <w:rFonts w:ascii="宋体" w:hAnsi="宋体" w:eastAsia="宋体" w:cs="宋体"/>
                <w:kern w:val="0"/>
                <w:sz w:val="13"/>
                <w:szCs w:val="13"/>
              </w:rPr>
              <w:t>8</w:t>
            </w:r>
            <w:r>
              <w:rPr>
                <w:rFonts w:hint="eastAsia" w:ascii="仿宋_GB2312" w:hAnsi="宋体" w:eastAsia="仿宋_GB2312" w:cs="宋体"/>
                <w:kern w:val="0"/>
                <w:sz w:val="13"/>
                <w:szCs w:val="13"/>
              </w:rPr>
              <w:t>分；“三公经费”＞</w:t>
            </w:r>
            <w:r>
              <w:rPr>
                <w:rFonts w:ascii="宋体" w:hAnsi="宋体" w:eastAsia="宋体" w:cs="宋体"/>
                <w:kern w:val="0"/>
                <w:sz w:val="13"/>
                <w:szCs w:val="13"/>
              </w:rPr>
              <w:t>0</w:t>
            </w:r>
            <w:r>
              <w:rPr>
                <w:rFonts w:hint="eastAsia" w:ascii="仿宋_GB2312" w:hAnsi="宋体" w:eastAsia="仿宋_GB2312" w:cs="宋体"/>
                <w:kern w:val="0"/>
                <w:sz w:val="13"/>
                <w:szCs w:val="13"/>
              </w:rPr>
              <w:t>，每超过一个百分点扣</w:t>
            </w:r>
            <w:r>
              <w:rPr>
                <w:rFonts w:ascii="宋体" w:hAnsi="宋体" w:eastAsia="宋体" w:cs="宋体"/>
                <w:kern w:val="0"/>
                <w:sz w:val="13"/>
                <w:szCs w:val="13"/>
              </w:rPr>
              <w:t>0.8</w:t>
            </w:r>
            <w:r>
              <w:rPr>
                <w:rFonts w:hint="eastAsia" w:ascii="仿宋_GB2312" w:hAnsi="宋体" w:eastAsia="仿宋_GB2312" w:cs="宋体"/>
                <w:kern w:val="0"/>
                <w:sz w:val="13"/>
                <w:szCs w:val="13"/>
              </w:rPr>
              <w:t>分，扣完为止。</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“三公经费”变动率</w:t>
            </w:r>
            <w:r>
              <w:rPr>
                <w:rFonts w:ascii="宋体" w:hAnsi="宋体" w:eastAsia="宋体" w:cs="宋体"/>
                <w:kern w:val="0"/>
                <w:sz w:val="13"/>
                <w:szCs w:val="13"/>
              </w:rPr>
              <w:t>=[</w:t>
            </w:r>
            <w:r>
              <w:rPr>
                <w:rFonts w:hint="eastAsia" w:ascii="仿宋_GB2312" w:hAnsi="宋体" w:eastAsia="仿宋_GB2312" w:cs="宋体"/>
                <w:kern w:val="0"/>
                <w:sz w:val="13"/>
                <w:szCs w:val="13"/>
              </w:rPr>
              <w:t>（本年度“三公经费”预算数</w:t>
            </w:r>
            <w:r>
              <w:rPr>
                <w:rFonts w:ascii="宋体" w:hAnsi="宋体" w:eastAsia="宋体" w:cs="宋体"/>
                <w:kern w:val="0"/>
                <w:sz w:val="13"/>
                <w:szCs w:val="13"/>
              </w:rPr>
              <w:t>-</w:t>
            </w:r>
            <w:r>
              <w:rPr>
                <w:rFonts w:hint="eastAsia" w:ascii="仿宋_GB2312" w:hAnsi="宋体" w:eastAsia="仿宋_GB2312" w:cs="宋体"/>
                <w:kern w:val="0"/>
                <w:sz w:val="13"/>
                <w:szCs w:val="13"/>
              </w:rPr>
              <w:t>上年度“三公经费”预算数）</w:t>
            </w:r>
            <w:r>
              <w:rPr>
                <w:rFonts w:ascii="宋体" w:hAnsi="宋体" w:eastAsia="宋体" w:cs="宋体"/>
                <w:kern w:val="0"/>
                <w:sz w:val="13"/>
                <w:szCs w:val="13"/>
              </w:rPr>
              <w:t>/</w:t>
            </w:r>
            <w:r>
              <w:rPr>
                <w:rFonts w:hint="eastAsia" w:ascii="仿宋_GB2312" w:hAnsi="宋体" w:eastAsia="仿宋_GB2312" w:cs="宋体"/>
                <w:kern w:val="0"/>
                <w:sz w:val="13"/>
                <w:szCs w:val="13"/>
              </w:rPr>
              <w:t>上年度“三公经费”预算数</w:t>
            </w:r>
            <w:r>
              <w:rPr>
                <w:rFonts w:ascii="宋体" w:hAnsi="宋体" w:eastAsia="宋体" w:cs="宋体"/>
                <w:kern w:val="0"/>
                <w:sz w:val="13"/>
                <w:szCs w:val="13"/>
              </w:rPr>
              <w:t>]</w:t>
            </w:r>
            <w:r>
              <w:rPr>
                <w:rFonts w:hint="eastAsia" w:ascii="仿宋_GB2312" w:hAnsi="宋体" w:eastAsia="仿宋_GB2312" w:cs="宋体"/>
                <w:kern w:val="0"/>
                <w:sz w:val="13"/>
                <w:szCs w:val="13"/>
              </w:rPr>
              <w:t>×</w:t>
            </w:r>
            <w:r>
              <w:rPr>
                <w:rFonts w:ascii="宋体" w:hAnsi="宋体" w:eastAsia="宋体" w:cs="宋体"/>
                <w:kern w:val="0"/>
                <w:sz w:val="13"/>
                <w:szCs w:val="13"/>
              </w:rPr>
              <w:t>100%</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8</w:t>
            </w:r>
          </w:p>
        </w:tc>
      </w:tr>
      <w:tr>
        <w:tblPrEx>
          <w:tblCellMar>
            <w:top w:w="0" w:type="dxa"/>
            <w:left w:w="0" w:type="dxa"/>
            <w:bottom w:w="0" w:type="dxa"/>
            <w:right w:w="0" w:type="dxa"/>
          </w:tblCellMar>
        </w:tblPrEx>
        <w:tc>
          <w:tcPr>
            <w:tcW w:w="45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过</w:t>
            </w:r>
            <w:r>
              <w:rPr>
                <w:rFonts w:ascii="宋体" w:hAnsi="宋体" w:eastAsia="宋体" w:cs="宋体"/>
                <w:kern w:val="0"/>
                <w:sz w:val="13"/>
                <w:szCs w:val="13"/>
              </w:rPr>
              <w:t xml:space="preserve">                                                                                                                                         </w:t>
            </w:r>
            <w:r>
              <w:rPr>
                <w:rFonts w:hint="eastAsia" w:ascii="仿宋_GB2312" w:hAnsi="宋体" w:eastAsia="仿宋_GB2312" w:cs="宋体"/>
                <w:kern w:val="0"/>
                <w:sz w:val="13"/>
                <w:szCs w:val="13"/>
              </w:rPr>
              <w:t>程</w:t>
            </w:r>
          </w:p>
        </w:tc>
        <w:tc>
          <w:tcPr>
            <w:tcW w:w="340"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61</w:t>
            </w:r>
          </w:p>
        </w:tc>
        <w:tc>
          <w:tcPr>
            <w:tcW w:w="4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预算执行</w:t>
            </w:r>
          </w:p>
        </w:tc>
        <w:tc>
          <w:tcPr>
            <w:tcW w:w="3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20</w:t>
            </w: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预算完成率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5</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3"/>
                <w:szCs w:val="13"/>
              </w:rPr>
              <w:t>100%</w:t>
            </w:r>
            <w:r>
              <w:rPr>
                <w:rFonts w:hint="eastAsia" w:ascii="仿宋_GB2312" w:hAnsi="宋体" w:eastAsia="仿宋_GB2312" w:cs="宋体"/>
                <w:kern w:val="0"/>
                <w:sz w:val="13"/>
                <w:szCs w:val="13"/>
              </w:rPr>
              <w:t>计满分，每低于</w:t>
            </w:r>
            <w:r>
              <w:rPr>
                <w:rFonts w:ascii="宋体" w:hAnsi="宋体" w:eastAsia="宋体" w:cs="宋体"/>
                <w:kern w:val="0"/>
                <w:sz w:val="13"/>
                <w:szCs w:val="13"/>
              </w:rPr>
              <w:t>5%</w:t>
            </w:r>
            <w:r>
              <w:rPr>
                <w:rFonts w:hint="eastAsia" w:ascii="仿宋_GB2312" w:hAnsi="宋体" w:eastAsia="仿宋_GB2312" w:cs="宋体"/>
                <w:kern w:val="0"/>
                <w:sz w:val="13"/>
                <w:szCs w:val="13"/>
              </w:rPr>
              <w:t>扣</w:t>
            </w:r>
            <w:r>
              <w:rPr>
                <w:rFonts w:ascii="宋体" w:hAnsi="宋体" w:eastAsia="宋体" w:cs="宋体"/>
                <w:kern w:val="0"/>
                <w:sz w:val="13"/>
                <w:szCs w:val="13"/>
              </w:rPr>
              <w:t>2</w:t>
            </w:r>
            <w:r>
              <w:rPr>
                <w:rFonts w:hint="eastAsia" w:ascii="仿宋_GB2312" w:hAnsi="宋体" w:eastAsia="仿宋_GB2312" w:cs="宋体"/>
                <w:kern w:val="0"/>
                <w:sz w:val="13"/>
                <w:szCs w:val="13"/>
              </w:rPr>
              <w:t>分，扣完为止。</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预算完成率</w:t>
            </w:r>
            <w:r>
              <w:rPr>
                <w:rFonts w:ascii="宋体" w:hAnsi="宋体" w:eastAsia="宋体" w:cs="宋体"/>
                <w:kern w:val="0"/>
                <w:sz w:val="13"/>
                <w:szCs w:val="13"/>
              </w:rPr>
              <w:t>=</w:t>
            </w:r>
            <w:r>
              <w:rPr>
                <w:rFonts w:hint="eastAsia" w:ascii="仿宋_GB2312" w:hAnsi="宋体" w:eastAsia="仿宋_GB2312" w:cs="宋体"/>
                <w:kern w:val="0"/>
                <w:sz w:val="13"/>
                <w:szCs w:val="13"/>
              </w:rPr>
              <w:t>（上年结转</w:t>
            </w:r>
            <w:r>
              <w:rPr>
                <w:rFonts w:ascii="宋体" w:hAnsi="宋体" w:eastAsia="宋体" w:cs="宋体"/>
                <w:kern w:val="0"/>
                <w:sz w:val="13"/>
                <w:szCs w:val="13"/>
              </w:rPr>
              <w:t>+</w:t>
            </w:r>
            <w:r>
              <w:rPr>
                <w:rFonts w:hint="eastAsia" w:ascii="仿宋_GB2312" w:hAnsi="宋体" w:eastAsia="仿宋_GB2312" w:cs="宋体"/>
                <w:kern w:val="0"/>
                <w:sz w:val="13"/>
                <w:szCs w:val="13"/>
              </w:rPr>
              <w:t>年初预算</w:t>
            </w:r>
            <w:r>
              <w:rPr>
                <w:rFonts w:ascii="宋体" w:hAnsi="宋体" w:eastAsia="宋体" w:cs="宋体"/>
                <w:kern w:val="0"/>
                <w:sz w:val="13"/>
                <w:szCs w:val="13"/>
              </w:rPr>
              <w:t>+</w:t>
            </w:r>
            <w:r>
              <w:rPr>
                <w:rFonts w:hint="eastAsia" w:ascii="仿宋_GB2312" w:hAnsi="宋体" w:eastAsia="仿宋_GB2312" w:cs="宋体"/>
                <w:kern w:val="0"/>
                <w:sz w:val="13"/>
                <w:szCs w:val="13"/>
              </w:rPr>
              <w:t>本年追加预算</w:t>
            </w:r>
            <w:r>
              <w:rPr>
                <w:rFonts w:ascii="宋体" w:hAnsi="宋体" w:eastAsia="宋体" w:cs="宋体"/>
                <w:kern w:val="0"/>
                <w:sz w:val="13"/>
                <w:szCs w:val="13"/>
              </w:rPr>
              <w:t>-</w:t>
            </w:r>
            <w:r>
              <w:rPr>
                <w:rFonts w:hint="eastAsia" w:ascii="仿宋_GB2312" w:hAnsi="宋体" w:eastAsia="仿宋_GB2312" w:cs="宋体"/>
                <w:kern w:val="0"/>
                <w:sz w:val="13"/>
                <w:szCs w:val="13"/>
              </w:rPr>
              <w:t>年末结余）</w:t>
            </w:r>
            <w:r>
              <w:rPr>
                <w:rFonts w:ascii="宋体" w:hAnsi="宋体" w:eastAsia="宋体" w:cs="宋体"/>
                <w:kern w:val="0"/>
                <w:sz w:val="13"/>
                <w:szCs w:val="13"/>
              </w:rPr>
              <w:t>/</w:t>
            </w:r>
            <w:r>
              <w:rPr>
                <w:rFonts w:hint="eastAsia" w:ascii="仿宋_GB2312" w:hAnsi="宋体" w:eastAsia="仿宋_GB2312" w:cs="宋体"/>
                <w:kern w:val="0"/>
                <w:sz w:val="13"/>
                <w:szCs w:val="13"/>
              </w:rPr>
              <w:t>（上年结转</w:t>
            </w:r>
            <w:r>
              <w:rPr>
                <w:rFonts w:ascii="宋体" w:hAnsi="宋体" w:eastAsia="宋体" w:cs="宋体"/>
                <w:kern w:val="0"/>
                <w:sz w:val="13"/>
                <w:szCs w:val="13"/>
              </w:rPr>
              <w:t>+</w:t>
            </w:r>
            <w:r>
              <w:rPr>
                <w:rFonts w:hint="eastAsia" w:ascii="仿宋_GB2312" w:hAnsi="宋体" w:eastAsia="仿宋_GB2312" w:cs="宋体"/>
                <w:kern w:val="0"/>
                <w:sz w:val="13"/>
                <w:szCs w:val="13"/>
              </w:rPr>
              <w:t>年初预算</w:t>
            </w:r>
            <w:r>
              <w:rPr>
                <w:rFonts w:ascii="宋体" w:hAnsi="宋体" w:eastAsia="宋体" w:cs="宋体"/>
                <w:kern w:val="0"/>
                <w:sz w:val="13"/>
                <w:szCs w:val="13"/>
              </w:rPr>
              <w:t>+</w:t>
            </w:r>
            <w:r>
              <w:rPr>
                <w:rFonts w:hint="eastAsia" w:ascii="仿宋_GB2312" w:hAnsi="宋体" w:eastAsia="仿宋_GB2312" w:cs="宋体"/>
                <w:kern w:val="0"/>
                <w:sz w:val="13"/>
                <w:szCs w:val="13"/>
              </w:rPr>
              <w:t>本年追加预算）×</w:t>
            </w:r>
            <w:r>
              <w:rPr>
                <w:rFonts w:ascii="宋体" w:hAnsi="宋体" w:eastAsia="宋体" w:cs="宋体"/>
                <w:kern w:val="0"/>
                <w:sz w:val="13"/>
                <w:szCs w:val="13"/>
              </w:rPr>
              <w:t>100%</w:t>
            </w:r>
            <w:r>
              <w:rPr>
                <w:rFonts w:hint="eastAsia" w:ascii="仿宋_GB2312" w:hAnsi="宋体" w:eastAsia="仿宋_GB2312" w:cs="宋体"/>
                <w:kern w:val="0"/>
                <w:sz w:val="13"/>
                <w:szCs w:val="13"/>
              </w:rPr>
              <w:t>。</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5</w:t>
            </w:r>
          </w:p>
        </w:tc>
      </w:tr>
      <w:tr>
        <w:tblPrEx>
          <w:tblCellMar>
            <w:top w:w="0" w:type="dxa"/>
            <w:left w:w="0" w:type="dxa"/>
            <w:bottom w:w="0" w:type="dxa"/>
            <w:right w:w="0" w:type="dxa"/>
          </w:tblCellMar>
        </w:tblPrEx>
        <w:trPr>
          <w:trHeight w:val="85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预算控制率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5</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预算控制率</w:t>
            </w:r>
            <w:r>
              <w:rPr>
                <w:rFonts w:ascii="宋体" w:hAnsi="宋体" w:eastAsia="宋体" w:cs="宋体"/>
                <w:kern w:val="0"/>
                <w:sz w:val="13"/>
                <w:szCs w:val="13"/>
              </w:rPr>
              <w:t>=0</w:t>
            </w:r>
            <w:r>
              <w:rPr>
                <w:rFonts w:hint="eastAsia" w:ascii="仿宋_GB2312" w:hAnsi="宋体" w:eastAsia="仿宋_GB2312" w:cs="宋体"/>
                <w:kern w:val="0"/>
                <w:sz w:val="13"/>
                <w:szCs w:val="13"/>
              </w:rPr>
              <w:t>，计</w:t>
            </w:r>
            <w:r>
              <w:rPr>
                <w:rFonts w:ascii="宋体" w:hAnsi="宋体" w:eastAsia="宋体" w:cs="宋体"/>
                <w:kern w:val="0"/>
                <w:sz w:val="13"/>
                <w:szCs w:val="13"/>
              </w:rPr>
              <w:t>5</w:t>
            </w:r>
            <w:r>
              <w:rPr>
                <w:rFonts w:hint="eastAsia" w:ascii="仿宋_GB2312" w:hAnsi="宋体" w:eastAsia="仿宋_GB2312" w:cs="宋体"/>
                <w:kern w:val="0"/>
                <w:sz w:val="13"/>
                <w:szCs w:val="13"/>
              </w:rPr>
              <w:t>分；</w:t>
            </w:r>
            <w:r>
              <w:rPr>
                <w:rFonts w:ascii="宋体" w:hAnsi="宋体" w:eastAsia="宋体" w:cs="宋体"/>
                <w:kern w:val="0"/>
                <w:sz w:val="13"/>
                <w:szCs w:val="13"/>
              </w:rPr>
              <w:t>0-10%</w:t>
            </w:r>
            <w:r>
              <w:rPr>
                <w:rFonts w:hint="eastAsia" w:ascii="仿宋_GB2312" w:hAnsi="宋体" w:eastAsia="仿宋_GB2312" w:cs="宋体"/>
                <w:kern w:val="0"/>
                <w:sz w:val="13"/>
                <w:szCs w:val="13"/>
              </w:rPr>
              <w:t>（含），计</w:t>
            </w:r>
            <w:r>
              <w:rPr>
                <w:rFonts w:ascii="宋体" w:hAnsi="宋体" w:eastAsia="宋体" w:cs="宋体"/>
                <w:kern w:val="0"/>
                <w:sz w:val="13"/>
                <w:szCs w:val="13"/>
              </w:rPr>
              <w:t>4</w:t>
            </w:r>
            <w:r>
              <w:rPr>
                <w:rFonts w:hint="eastAsia" w:ascii="仿宋_GB2312" w:hAnsi="宋体" w:eastAsia="仿宋_GB2312" w:cs="宋体"/>
                <w:kern w:val="0"/>
                <w:sz w:val="13"/>
                <w:szCs w:val="13"/>
              </w:rPr>
              <w:t>分；</w:t>
            </w:r>
            <w:r>
              <w:rPr>
                <w:rFonts w:ascii="宋体" w:hAnsi="宋体" w:eastAsia="宋体" w:cs="宋体"/>
                <w:kern w:val="0"/>
                <w:sz w:val="13"/>
                <w:szCs w:val="13"/>
              </w:rPr>
              <w:t>10-20%</w:t>
            </w:r>
            <w:r>
              <w:rPr>
                <w:rFonts w:hint="eastAsia" w:ascii="仿宋_GB2312" w:hAnsi="宋体" w:eastAsia="仿宋_GB2312" w:cs="宋体"/>
                <w:kern w:val="0"/>
                <w:sz w:val="13"/>
                <w:szCs w:val="13"/>
              </w:rPr>
              <w:t>（含），计</w:t>
            </w:r>
            <w:r>
              <w:rPr>
                <w:rFonts w:ascii="宋体" w:hAnsi="宋体" w:eastAsia="宋体" w:cs="宋体"/>
                <w:kern w:val="0"/>
                <w:sz w:val="13"/>
                <w:szCs w:val="13"/>
              </w:rPr>
              <w:t>3</w:t>
            </w:r>
            <w:r>
              <w:rPr>
                <w:rFonts w:hint="eastAsia" w:ascii="仿宋_GB2312" w:hAnsi="宋体" w:eastAsia="仿宋_GB2312" w:cs="宋体"/>
                <w:kern w:val="0"/>
                <w:sz w:val="13"/>
                <w:szCs w:val="13"/>
              </w:rPr>
              <w:t>分；</w:t>
            </w:r>
            <w:r>
              <w:rPr>
                <w:rFonts w:ascii="宋体" w:hAnsi="宋体" w:eastAsia="宋体" w:cs="宋体"/>
                <w:kern w:val="0"/>
                <w:sz w:val="13"/>
                <w:szCs w:val="13"/>
              </w:rPr>
              <w:t>20-30%</w:t>
            </w:r>
            <w:r>
              <w:rPr>
                <w:rFonts w:hint="eastAsia" w:ascii="仿宋_GB2312" w:hAnsi="宋体" w:eastAsia="仿宋_GB2312" w:cs="宋体"/>
                <w:kern w:val="0"/>
                <w:sz w:val="13"/>
                <w:szCs w:val="13"/>
              </w:rPr>
              <w:t>（含），计</w:t>
            </w:r>
            <w:r>
              <w:rPr>
                <w:rFonts w:ascii="宋体" w:hAnsi="宋体" w:eastAsia="宋体" w:cs="宋体"/>
                <w:kern w:val="0"/>
                <w:sz w:val="13"/>
                <w:szCs w:val="13"/>
              </w:rPr>
              <w:t>2</w:t>
            </w:r>
            <w:r>
              <w:rPr>
                <w:rFonts w:hint="eastAsia" w:ascii="仿宋_GB2312" w:hAnsi="宋体" w:eastAsia="仿宋_GB2312" w:cs="宋体"/>
                <w:kern w:val="0"/>
                <w:sz w:val="13"/>
                <w:szCs w:val="13"/>
              </w:rPr>
              <w:t>分；大于</w:t>
            </w:r>
            <w:r>
              <w:rPr>
                <w:rFonts w:ascii="宋体" w:hAnsi="宋体" w:eastAsia="宋体" w:cs="宋体"/>
                <w:kern w:val="0"/>
                <w:sz w:val="13"/>
                <w:szCs w:val="13"/>
              </w:rPr>
              <w:t>30%</w:t>
            </w:r>
            <w:r>
              <w:rPr>
                <w:rFonts w:hint="eastAsia" w:ascii="仿宋_GB2312" w:hAnsi="宋体" w:eastAsia="仿宋_GB2312" w:cs="宋体"/>
                <w:kern w:val="0"/>
                <w:sz w:val="13"/>
                <w:szCs w:val="13"/>
              </w:rPr>
              <w:t>不得分。</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预算控制率</w:t>
            </w:r>
            <w:r>
              <w:rPr>
                <w:rFonts w:ascii="宋体" w:hAnsi="宋体" w:eastAsia="宋体" w:cs="宋体"/>
                <w:kern w:val="0"/>
                <w:sz w:val="13"/>
                <w:szCs w:val="13"/>
              </w:rPr>
              <w:t>=</w:t>
            </w:r>
            <w:r>
              <w:rPr>
                <w:rFonts w:hint="eastAsia" w:ascii="仿宋_GB2312" w:hAnsi="宋体" w:eastAsia="仿宋_GB2312" w:cs="宋体"/>
                <w:kern w:val="0"/>
                <w:sz w:val="13"/>
                <w:szCs w:val="13"/>
              </w:rPr>
              <w:t>（本年追加预算</w:t>
            </w:r>
            <w:r>
              <w:rPr>
                <w:rFonts w:ascii="宋体" w:hAnsi="宋体" w:eastAsia="宋体" w:cs="宋体"/>
                <w:kern w:val="0"/>
                <w:sz w:val="13"/>
                <w:szCs w:val="13"/>
              </w:rPr>
              <w:t>/</w:t>
            </w:r>
            <w:r>
              <w:rPr>
                <w:rFonts w:hint="eastAsia" w:ascii="仿宋_GB2312" w:hAnsi="宋体" w:eastAsia="仿宋_GB2312" w:cs="宋体"/>
                <w:kern w:val="0"/>
                <w:sz w:val="13"/>
                <w:szCs w:val="13"/>
              </w:rPr>
              <w:t>年初预算）×</w:t>
            </w:r>
            <w:r>
              <w:rPr>
                <w:rFonts w:ascii="宋体" w:hAnsi="宋体" w:eastAsia="宋体" w:cs="宋体"/>
                <w:kern w:val="0"/>
                <w:sz w:val="13"/>
                <w:szCs w:val="13"/>
              </w:rPr>
              <w:t>100%</w:t>
            </w:r>
            <w:r>
              <w:rPr>
                <w:rFonts w:hint="eastAsia" w:ascii="仿宋_GB2312" w:hAnsi="宋体" w:eastAsia="仿宋_GB2312" w:cs="宋体"/>
                <w:kern w:val="0"/>
                <w:sz w:val="13"/>
                <w:szCs w:val="13"/>
              </w:rPr>
              <w:t>。</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5</w:t>
            </w:r>
          </w:p>
        </w:tc>
      </w:tr>
      <w:tr>
        <w:tblPrEx>
          <w:tblCellMar>
            <w:top w:w="0" w:type="dxa"/>
            <w:left w:w="0" w:type="dxa"/>
            <w:bottom w:w="0" w:type="dxa"/>
            <w:right w:w="0" w:type="dxa"/>
          </w:tblCellMar>
        </w:tblPrEx>
        <w:trPr>
          <w:trHeight w:val="7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新建楼堂馆所面积控制率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5</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3"/>
                <w:szCs w:val="13"/>
              </w:rPr>
              <w:t>100%</w:t>
            </w:r>
            <w:r>
              <w:rPr>
                <w:rFonts w:hint="eastAsia" w:ascii="仿宋_GB2312" w:hAnsi="宋体" w:eastAsia="仿宋_GB2312" w:cs="宋体"/>
                <w:kern w:val="0"/>
                <w:sz w:val="13"/>
                <w:szCs w:val="13"/>
              </w:rPr>
              <w:t>以下（含）计满分，每超出</w:t>
            </w:r>
            <w:r>
              <w:rPr>
                <w:rFonts w:ascii="宋体" w:hAnsi="宋体" w:eastAsia="宋体" w:cs="宋体"/>
                <w:kern w:val="0"/>
                <w:sz w:val="13"/>
                <w:szCs w:val="13"/>
              </w:rPr>
              <w:t>5%</w:t>
            </w:r>
            <w:r>
              <w:rPr>
                <w:rFonts w:hint="eastAsia" w:ascii="仿宋_GB2312" w:hAnsi="宋体" w:eastAsia="仿宋_GB2312" w:cs="宋体"/>
                <w:kern w:val="0"/>
                <w:sz w:val="13"/>
                <w:szCs w:val="13"/>
              </w:rPr>
              <w:t>扣</w:t>
            </w:r>
            <w:r>
              <w:rPr>
                <w:rFonts w:ascii="宋体" w:hAnsi="宋体" w:eastAsia="宋体" w:cs="宋体"/>
                <w:kern w:val="0"/>
                <w:sz w:val="13"/>
                <w:szCs w:val="13"/>
              </w:rPr>
              <w:t>2</w:t>
            </w:r>
            <w:r>
              <w:rPr>
                <w:rFonts w:hint="eastAsia" w:ascii="仿宋_GB2312" w:hAnsi="宋体" w:eastAsia="仿宋_GB2312" w:cs="宋体"/>
                <w:kern w:val="0"/>
                <w:sz w:val="13"/>
                <w:szCs w:val="13"/>
              </w:rPr>
              <w:t>分，扣完为止。没有楼堂馆所项目的部门按满分计算。</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楼堂馆所面积控制率</w:t>
            </w:r>
            <w:r>
              <w:rPr>
                <w:rFonts w:ascii="宋体" w:hAnsi="宋体" w:eastAsia="宋体" w:cs="宋体"/>
                <w:kern w:val="0"/>
                <w:sz w:val="13"/>
                <w:szCs w:val="13"/>
              </w:rPr>
              <w:t>=</w:t>
            </w:r>
            <w:r>
              <w:rPr>
                <w:rFonts w:hint="eastAsia" w:ascii="仿宋_GB2312" w:hAnsi="宋体" w:eastAsia="仿宋_GB2312" w:cs="宋体"/>
                <w:kern w:val="0"/>
                <w:sz w:val="13"/>
                <w:szCs w:val="13"/>
              </w:rPr>
              <w:t>实际建设面积</w:t>
            </w:r>
            <w:r>
              <w:rPr>
                <w:rFonts w:ascii="宋体" w:hAnsi="宋体" w:eastAsia="宋体" w:cs="宋体"/>
                <w:kern w:val="0"/>
                <w:sz w:val="13"/>
                <w:szCs w:val="13"/>
              </w:rPr>
              <w:t>/</w:t>
            </w:r>
            <w:r>
              <w:rPr>
                <w:rFonts w:hint="eastAsia" w:ascii="仿宋_GB2312" w:hAnsi="宋体" w:eastAsia="仿宋_GB2312" w:cs="宋体"/>
                <w:kern w:val="0"/>
                <w:sz w:val="13"/>
                <w:szCs w:val="13"/>
              </w:rPr>
              <w:t>批准建设面积×</w:t>
            </w:r>
            <w:r>
              <w:rPr>
                <w:rFonts w:ascii="宋体" w:hAnsi="宋体" w:eastAsia="宋体" w:cs="宋体"/>
                <w:kern w:val="0"/>
                <w:sz w:val="13"/>
                <w:szCs w:val="13"/>
              </w:rPr>
              <w:t xml:space="preserve">100% </w:t>
            </w:r>
            <w:r>
              <w:rPr>
                <w:rFonts w:hint="eastAsia" w:ascii="仿宋_GB2312" w:hAnsi="宋体" w:eastAsia="仿宋_GB2312" w:cs="宋体"/>
                <w:kern w:val="0"/>
                <w:sz w:val="13"/>
                <w:szCs w:val="13"/>
              </w:rPr>
              <w:t>。</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该指标以</w:t>
            </w:r>
            <w:r>
              <w:rPr>
                <w:rFonts w:ascii="宋体" w:hAnsi="宋体" w:eastAsia="宋体" w:cs="宋体"/>
                <w:kern w:val="0"/>
                <w:sz w:val="13"/>
                <w:szCs w:val="13"/>
              </w:rPr>
              <w:t>2015</w:t>
            </w:r>
            <w:r>
              <w:rPr>
                <w:rFonts w:hint="eastAsia" w:ascii="仿宋_GB2312" w:hAnsi="宋体" w:eastAsia="仿宋_GB2312" w:cs="宋体"/>
                <w:kern w:val="0"/>
                <w:sz w:val="13"/>
                <w:szCs w:val="13"/>
              </w:rPr>
              <w:t>年完工的新建楼堂馆所为评价内容。</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6"/>
                <w:szCs w:val="16"/>
              </w:rPr>
              <w:t>5</w:t>
            </w:r>
            <w:r>
              <w:rPr>
                <w:rFonts w:ascii="宋体" w:hAnsi="宋体" w:eastAsia="宋体" w:cs="宋体"/>
                <w:kern w:val="0"/>
                <w:sz w:val="24"/>
                <w:szCs w:val="24"/>
              </w:rPr>
              <w:t>　</w:t>
            </w:r>
          </w:p>
        </w:tc>
      </w:tr>
      <w:tr>
        <w:tblPrEx>
          <w:tblCellMar>
            <w:top w:w="0" w:type="dxa"/>
            <w:left w:w="0" w:type="dxa"/>
            <w:bottom w:w="0" w:type="dxa"/>
            <w:right w:w="0" w:type="dxa"/>
          </w:tblCellMar>
        </w:tblPrEx>
        <w:trPr>
          <w:trHeight w:val="87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新建楼堂馆所投资概算控制率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5</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3"/>
                <w:szCs w:val="13"/>
              </w:rPr>
              <w:t>100%</w:t>
            </w:r>
            <w:r>
              <w:rPr>
                <w:rFonts w:hint="eastAsia" w:ascii="仿宋_GB2312" w:hAnsi="宋体" w:eastAsia="仿宋_GB2312" w:cs="宋体"/>
                <w:kern w:val="0"/>
                <w:sz w:val="13"/>
                <w:szCs w:val="13"/>
              </w:rPr>
              <w:t>以下（含）计满分，每超出</w:t>
            </w:r>
            <w:r>
              <w:rPr>
                <w:rFonts w:ascii="宋体" w:hAnsi="宋体" w:eastAsia="宋体" w:cs="宋体"/>
                <w:kern w:val="0"/>
                <w:sz w:val="13"/>
                <w:szCs w:val="13"/>
              </w:rPr>
              <w:t>5%</w:t>
            </w:r>
            <w:r>
              <w:rPr>
                <w:rFonts w:hint="eastAsia" w:ascii="仿宋_GB2312" w:hAnsi="宋体" w:eastAsia="仿宋_GB2312" w:cs="宋体"/>
                <w:kern w:val="0"/>
                <w:sz w:val="13"/>
                <w:szCs w:val="13"/>
              </w:rPr>
              <w:t>扣</w:t>
            </w:r>
            <w:r>
              <w:rPr>
                <w:rFonts w:ascii="宋体" w:hAnsi="宋体" w:eastAsia="宋体" w:cs="宋体"/>
                <w:kern w:val="0"/>
                <w:sz w:val="13"/>
                <w:szCs w:val="13"/>
              </w:rPr>
              <w:t>2</w:t>
            </w:r>
            <w:r>
              <w:rPr>
                <w:rFonts w:hint="eastAsia" w:ascii="仿宋_GB2312" w:hAnsi="宋体" w:eastAsia="仿宋_GB2312" w:cs="宋体"/>
                <w:kern w:val="0"/>
                <w:sz w:val="13"/>
                <w:szCs w:val="13"/>
              </w:rPr>
              <w:t>分，扣完为止。</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楼堂馆所投资预算控制率</w:t>
            </w:r>
            <w:r>
              <w:rPr>
                <w:rFonts w:ascii="宋体" w:hAnsi="宋体" w:eastAsia="宋体" w:cs="宋体"/>
                <w:kern w:val="0"/>
                <w:sz w:val="13"/>
                <w:szCs w:val="13"/>
              </w:rPr>
              <w:t>=</w:t>
            </w:r>
            <w:r>
              <w:rPr>
                <w:rFonts w:hint="eastAsia" w:ascii="仿宋_GB2312" w:hAnsi="宋体" w:eastAsia="仿宋_GB2312" w:cs="宋体"/>
                <w:kern w:val="0"/>
                <w:sz w:val="13"/>
                <w:szCs w:val="13"/>
              </w:rPr>
              <w:t>实际投资金额</w:t>
            </w:r>
            <w:r>
              <w:rPr>
                <w:rFonts w:ascii="宋体" w:hAnsi="宋体" w:eastAsia="宋体" w:cs="宋体"/>
                <w:kern w:val="0"/>
                <w:sz w:val="13"/>
                <w:szCs w:val="13"/>
              </w:rPr>
              <w:t>/</w:t>
            </w:r>
            <w:r>
              <w:rPr>
                <w:rFonts w:hint="eastAsia" w:ascii="仿宋_GB2312" w:hAnsi="宋体" w:eastAsia="仿宋_GB2312" w:cs="宋体"/>
                <w:kern w:val="0"/>
                <w:sz w:val="13"/>
                <w:szCs w:val="13"/>
              </w:rPr>
              <w:t>批准投资金额×</w:t>
            </w:r>
            <w:r>
              <w:rPr>
                <w:rFonts w:ascii="宋体" w:hAnsi="宋体" w:eastAsia="宋体" w:cs="宋体"/>
                <w:kern w:val="0"/>
                <w:sz w:val="13"/>
                <w:szCs w:val="13"/>
              </w:rPr>
              <w:t xml:space="preserve">100% </w:t>
            </w:r>
            <w:r>
              <w:rPr>
                <w:rFonts w:hint="eastAsia" w:ascii="仿宋_GB2312" w:hAnsi="宋体" w:eastAsia="仿宋_GB2312" w:cs="宋体"/>
                <w:kern w:val="0"/>
                <w:sz w:val="13"/>
                <w:szCs w:val="13"/>
              </w:rPr>
              <w:t>。</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该指标以</w:t>
            </w:r>
            <w:r>
              <w:rPr>
                <w:rFonts w:ascii="宋体" w:hAnsi="宋体" w:eastAsia="宋体" w:cs="宋体"/>
                <w:kern w:val="0"/>
                <w:sz w:val="13"/>
                <w:szCs w:val="13"/>
              </w:rPr>
              <w:t>2015</w:t>
            </w:r>
            <w:r>
              <w:rPr>
                <w:rFonts w:hint="eastAsia" w:ascii="仿宋_GB2312" w:hAnsi="宋体" w:eastAsia="仿宋_GB2312" w:cs="宋体"/>
                <w:kern w:val="0"/>
                <w:sz w:val="13"/>
                <w:szCs w:val="13"/>
              </w:rPr>
              <w:t>年完工的新建楼堂馆所为评价内容。</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5</w:t>
            </w:r>
          </w:p>
        </w:tc>
      </w:tr>
      <w:tr>
        <w:tblPrEx>
          <w:tblCellMar>
            <w:top w:w="0" w:type="dxa"/>
            <w:left w:w="0" w:type="dxa"/>
            <w:bottom w:w="0" w:type="dxa"/>
            <w:right w:w="0" w:type="dxa"/>
          </w:tblCellMar>
        </w:tblPrEx>
        <w:trPr>
          <w:trHeight w:val="104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预算管理</w:t>
            </w:r>
          </w:p>
        </w:tc>
        <w:tc>
          <w:tcPr>
            <w:tcW w:w="3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41</w:t>
            </w: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公用经费控制率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8</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3"/>
                <w:szCs w:val="13"/>
              </w:rPr>
              <w:t>100%</w:t>
            </w:r>
            <w:r>
              <w:rPr>
                <w:rFonts w:hint="eastAsia" w:ascii="仿宋_GB2312" w:hAnsi="宋体" w:eastAsia="仿宋_GB2312" w:cs="宋体"/>
                <w:kern w:val="0"/>
                <w:sz w:val="13"/>
                <w:szCs w:val="13"/>
              </w:rPr>
              <w:t>以下（含）计满分，每超出</w:t>
            </w:r>
            <w:r>
              <w:rPr>
                <w:rFonts w:ascii="宋体" w:hAnsi="宋体" w:eastAsia="宋体" w:cs="宋体"/>
                <w:kern w:val="0"/>
                <w:sz w:val="13"/>
                <w:szCs w:val="13"/>
              </w:rPr>
              <w:t>1%</w:t>
            </w:r>
            <w:r>
              <w:rPr>
                <w:rFonts w:hint="eastAsia" w:ascii="仿宋_GB2312" w:hAnsi="宋体" w:eastAsia="仿宋_GB2312" w:cs="宋体"/>
                <w:kern w:val="0"/>
                <w:sz w:val="13"/>
                <w:szCs w:val="13"/>
              </w:rPr>
              <w:t>扣</w:t>
            </w:r>
            <w:r>
              <w:rPr>
                <w:rFonts w:ascii="宋体" w:hAnsi="宋体" w:eastAsia="宋体" w:cs="宋体"/>
                <w:kern w:val="0"/>
                <w:sz w:val="13"/>
                <w:szCs w:val="13"/>
              </w:rPr>
              <w:t>1</w:t>
            </w:r>
            <w:r>
              <w:rPr>
                <w:rFonts w:hint="eastAsia" w:ascii="仿宋_GB2312" w:hAnsi="宋体" w:eastAsia="仿宋_GB2312" w:cs="宋体"/>
                <w:kern w:val="0"/>
                <w:sz w:val="13"/>
                <w:szCs w:val="13"/>
              </w:rPr>
              <w:t>分，扣完为止。</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公用经费控制率</w:t>
            </w:r>
            <w:r>
              <w:rPr>
                <w:rFonts w:ascii="宋体" w:hAnsi="宋体" w:eastAsia="宋体" w:cs="宋体"/>
                <w:kern w:val="0"/>
                <w:sz w:val="13"/>
                <w:szCs w:val="13"/>
              </w:rPr>
              <w:t>=</w:t>
            </w:r>
            <w:r>
              <w:rPr>
                <w:rFonts w:hint="eastAsia" w:ascii="仿宋_GB2312" w:hAnsi="宋体" w:eastAsia="仿宋_GB2312" w:cs="宋体"/>
                <w:kern w:val="0"/>
                <w:sz w:val="13"/>
                <w:szCs w:val="13"/>
              </w:rPr>
              <w:t>（实际支出公用经费总额</w:t>
            </w:r>
            <w:r>
              <w:rPr>
                <w:rFonts w:ascii="宋体" w:hAnsi="宋体" w:eastAsia="宋体" w:cs="宋体"/>
                <w:kern w:val="0"/>
                <w:sz w:val="13"/>
                <w:szCs w:val="13"/>
              </w:rPr>
              <w:t>/</w:t>
            </w:r>
            <w:r>
              <w:rPr>
                <w:rFonts w:hint="eastAsia" w:ascii="仿宋_GB2312" w:hAnsi="宋体" w:eastAsia="仿宋_GB2312" w:cs="宋体"/>
                <w:kern w:val="0"/>
                <w:sz w:val="13"/>
                <w:szCs w:val="13"/>
              </w:rPr>
              <w:t>预算安排公用经费总额）×</w:t>
            </w:r>
            <w:r>
              <w:rPr>
                <w:rFonts w:ascii="宋体" w:hAnsi="宋体" w:eastAsia="宋体" w:cs="宋体"/>
                <w:kern w:val="0"/>
                <w:sz w:val="13"/>
                <w:szCs w:val="13"/>
              </w:rPr>
              <w:t>100%</w:t>
            </w:r>
            <w:r>
              <w:rPr>
                <w:rFonts w:hint="eastAsia" w:ascii="仿宋_GB2312" w:hAnsi="宋体" w:eastAsia="仿宋_GB2312" w:cs="宋体"/>
                <w:kern w:val="0"/>
                <w:sz w:val="13"/>
                <w:szCs w:val="13"/>
              </w:rPr>
              <w:t>。</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公用经费支出是指部门基本支出中的一般商品和服务支出。</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8</w:t>
            </w:r>
          </w:p>
        </w:tc>
      </w:tr>
      <w:tr>
        <w:tblPrEx>
          <w:tblCellMar>
            <w:top w:w="0" w:type="dxa"/>
            <w:left w:w="0" w:type="dxa"/>
            <w:bottom w:w="0" w:type="dxa"/>
            <w:right w:w="0" w:type="dxa"/>
          </w:tblCellMar>
        </w:tblPrEx>
        <w:trPr>
          <w:trHeight w:val="72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“三公经费”控制率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8</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3"/>
                <w:szCs w:val="13"/>
              </w:rPr>
              <w:t>100%</w:t>
            </w:r>
            <w:r>
              <w:rPr>
                <w:rFonts w:hint="eastAsia" w:ascii="仿宋_GB2312" w:hAnsi="宋体" w:eastAsia="仿宋_GB2312" w:cs="宋体"/>
                <w:kern w:val="0"/>
                <w:sz w:val="13"/>
                <w:szCs w:val="13"/>
              </w:rPr>
              <w:t>以下（含）计满分，每超出</w:t>
            </w:r>
            <w:r>
              <w:rPr>
                <w:rFonts w:ascii="宋体" w:hAnsi="宋体" w:eastAsia="宋体" w:cs="宋体"/>
                <w:kern w:val="0"/>
                <w:sz w:val="13"/>
                <w:szCs w:val="13"/>
              </w:rPr>
              <w:t>1%</w:t>
            </w:r>
            <w:r>
              <w:rPr>
                <w:rFonts w:hint="eastAsia" w:ascii="仿宋_GB2312" w:hAnsi="宋体" w:eastAsia="仿宋_GB2312" w:cs="宋体"/>
                <w:kern w:val="0"/>
                <w:sz w:val="13"/>
                <w:szCs w:val="13"/>
              </w:rPr>
              <w:t>扣</w:t>
            </w:r>
            <w:r>
              <w:rPr>
                <w:rFonts w:ascii="宋体" w:hAnsi="宋体" w:eastAsia="宋体" w:cs="宋体"/>
                <w:kern w:val="0"/>
                <w:sz w:val="13"/>
                <w:szCs w:val="13"/>
              </w:rPr>
              <w:t>1</w:t>
            </w:r>
            <w:r>
              <w:rPr>
                <w:rFonts w:hint="eastAsia" w:ascii="仿宋_GB2312" w:hAnsi="宋体" w:eastAsia="仿宋_GB2312" w:cs="宋体"/>
                <w:kern w:val="0"/>
                <w:sz w:val="13"/>
                <w:szCs w:val="13"/>
              </w:rPr>
              <w:t>分，扣完为止。</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“三公经费”控制率</w:t>
            </w:r>
            <w:r>
              <w:rPr>
                <w:rFonts w:ascii="宋体" w:hAnsi="宋体" w:eastAsia="宋体" w:cs="宋体"/>
                <w:kern w:val="0"/>
                <w:sz w:val="13"/>
                <w:szCs w:val="13"/>
              </w:rPr>
              <w:t>-</w:t>
            </w:r>
            <w:r>
              <w:rPr>
                <w:rFonts w:hint="eastAsia" w:ascii="仿宋_GB2312" w:hAnsi="宋体" w:eastAsia="仿宋_GB2312" w:cs="宋体"/>
                <w:kern w:val="0"/>
                <w:sz w:val="13"/>
                <w:szCs w:val="13"/>
              </w:rPr>
              <w:t>（“三公经费”实际支出数</w:t>
            </w:r>
            <w:r>
              <w:rPr>
                <w:rFonts w:ascii="宋体" w:hAnsi="宋体" w:eastAsia="宋体" w:cs="宋体"/>
                <w:kern w:val="0"/>
                <w:sz w:val="13"/>
                <w:szCs w:val="13"/>
              </w:rPr>
              <w:t>/</w:t>
            </w:r>
            <w:r>
              <w:rPr>
                <w:rFonts w:hint="eastAsia" w:ascii="仿宋_GB2312" w:hAnsi="宋体" w:eastAsia="仿宋_GB2312" w:cs="宋体"/>
                <w:kern w:val="0"/>
                <w:sz w:val="13"/>
                <w:szCs w:val="13"/>
              </w:rPr>
              <w:t>“三公经费”预算安排数）×</w:t>
            </w:r>
            <w:r>
              <w:rPr>
                <w:rFonts w:ascii="宋体" w:hAnsi="宋体" w:eastAsia="宋体" w:cs="宋体"/>
                <w:kern w:val="0"/>
                <w:sz w:val="13"/>
                <w:szCs w:val="13"/>
              </w:rPr>
              <w:t>100%</w:t>
            </w:r>
            <w:r>
              <w:rPr>
                <w:rFonts w:hint="eastAsia" w:ascii="仿宋_GB2312" w:hAnsi="宋体" w:eastAsia="仿宋_GB2312" w:cs="宋体"/>
                <w:kern w:val="0"/>
                <w:sz w:val="13"/>
                <w:szCs w:val="13"/>
              </w:rPr>
              <w:t>。</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6"/>
                <w:szCs w:val="16"/>
              </w:rPr>
              <w:t>8</w:t>
            </w:r>
            <w:r>
              <w:rPr>
                <w:rFonts w:ascii="宋体" w:hAnsi="宋体" w:eastAsia="宋体" w:cs="宋体"/>
                <w:kern w:val="0"/>
                <w:sz w:val="24"/>
                <w:szCs w:val="24"/>
              </w:rPr>
              <w:t>　</w:t>
            </w:r>
          </w:p>
        </w:tc>
      </w:tr>
      <w:tr>
        <w:tblPrEx>
          <w:tblCellMar>
            <w:top w:w="0" w:type="dxa"/>
            <w:left w:w="0" w:type="dxa"/>
            <w:bottom w:w="0" w:type="dxa"/>
            <w:right w:w="0" w:type="dxa"/>
          </w:tblCellMar>
        </w:tblPrEx>
        <w:trPr>
          <w:trHeight w:val="61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政府采购执行率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center"/>
              <w:rPr>
                <w:rFonts w:ascii="宋体" w:hAnsi="宋体" w:eastAsia="宋体" w:cs="宋体"/>
                <w:kern w:val="0"/>
                <w:sz w:val="24"/>
                <w:szCs w:val="24"/>
              </w:rPr>
            </w:pPr>
            <w:r>
              <w:rPr>
                <w:rFonts w:ascii="宋体" w:hAnsi="宋体" w:eastAsia="宋体" w:cs="宋体"/>
                <w:kern w:val="0"/>
                <w:sz w:val="13"/>
                <w:szCs w:val="13"/>
              </w:rPr>
              <w:t>6</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3"/>
                <w:szCs w:val="13"/>
              </w:rPr>
              <w:t>100%</w:t>
            </w:r>
            <w:r>
              <w:rPr>
                <w:rFonts w:hint="eastAsia" w:ascii="仿宋_GB2312" w:hAnsi="宋体" w:eastAsia="仿宋_GB2312" w:cs="宋体"/>
                <w:kern w:val="0"/>
                <w:sz w:val="13"/>
                <w:szCs w:val="13"/>
              </w:rPr>
              <w:t>计满分，每超过（降低）</w:t>
            </w:r>
            <w:r>
              <w:rPr>
                <w:rFonts w:ascii="宋体" w:hAnsi="宋体" w:eastAsia="宋体" w:cs="宋体"/>
                <w:kern w:val="0"/>
                <w:sz w:val="13"/>
                <w:szCs w:val="13"/>
              </w:rPr>
              <w:t>5%</w:t>
            </w:r>
            <w:r>
              <w:rPr>
                <w:rFonts w:hint="eastAsia" w:ascii="仿宋_GB2312" w:hAnsi="宋体" w:eastAsia="仿宋_GB2312" w:cs="宋体"/>
                <w:kern w:val="0"/>
                <w:sz w:val="13"/>
                <w:szCs w:val="13"/>
              </w:rPr>
              <w:t>扣</w:t>
            </w:r>
            <w:r>
              <w:rPr>
                <w:rFonts w:ascii="宋体" w:hAnsi="宋体" w:eastAsia="宋体" w:cs="宋体"/>
                <w:kern w:val="0"/>
                <w:sz w:val="13"/>
                <w:szCs w:val="13"/>
              </w:rPr>
              <w:t>2</w:t>
            </w:r>
            <w:r>
              <w:rPr>
                <w:rFonts w:hint="eastAsia" w:ascii="仿宋_GB2312" w:hAnsi="宋体" w:eastAsia="仿宋_GB2312" w:cs="宋体"/>
                <w:kern w:val="0"/>
                <w:sz w:val="13"/>
                <w:szCs w:val="13"/>
              </w:rPr>
              <w:t>分。扣完为止。</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政府采购执行率</w:t>
            </w:r>
            <w:r>
              <w:rPr>
                <w:rFonts w:ascii="宋体" w:hAnsi="宋体" w:eastAsia="宋体" w:cs="宋体"/>
                <w:kern w:val="0"/>
                <w:sz w:val="13"/>
                <w:szCs w:val="13"/>
              </w:rPr>
              <w:t>=</w:t>
            </w:r>
            <w:r>
              <w:rPr>
                <w:rFonts w:hint="eastAsia" w:ascii="仿宋_GB2312" w:hAnsi="宋体" w:eastAsia="仿宋_GB2312" w:cs="宋体"/>
                <w:kern w:val="0"/>
                <w:sz w:val="13"/>
                <w:szCs w:val="13"/>
              </w:rPr>
              <w:t>（实际政府采购金额</w:t>
            </w:r>
            <w:r>
              <w:rPr>
                <w:rFonts w:ascii="宋体" w:hAnsi="宋体" w:eastAsia="宋体" w:cs="宋体"/>
                <w:kern w:val="0"/>
                <w:sz w:val="13"/>
                <w:szCs w:val="13"/>
              </w:rPr>
              <w:t>/</w:t>
            </w:r>
            <w:r>
              <w:rPr>
                <w:rFonts w:hint="eastAsia" w:ascii="仿宋_GB2312" w:hAnsi="宋体" w:eastAsia="仿宋_GB2312" w:cs="宋体"/>
                <w:kern w:val="0"/>
                <w:sz w:val="13"/>
                <w:szCs w:val="13"/>
              </w:rPr>
              <w:t>政府采购预算数）×</w:t>
            </w:r>
            <w:r>
              <w:rPr>
                <w:rFonts w:ascii="宋体" w:hAnsi="宋体" w:eastAsia="宋体" w:cs="宋体"/>
                <w:kern w:val="0"/>
                <w:sz w:val="13"/>
                <w:szCs w:val="13"/>
              </w:rPr>
              <w:t>100%</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6</w:t>
            </w:r>
          </w:p>
        </w:tc>
      </w:tr>
      <w:tr>
        <w:tblPrEx>
          <w:tblCellMar>
            <w:top w:w="0" w:type="dxa"/>
            <w:left w:w="0" w:type="dxa"/>
            <w:bottom w:w="0" w:type="dxa"/>
            <w:right w:w="0" w:type="dxa"/>
          </w:tblCellMar>
        </w:tblPrEx>
        <w:tc>
          <w:tcPr>
            <w:tcW w:w="450" w:type="dxa"/>
            <w:vMerge w:val="restart"/>
            <w:tcBorders>
              <w:top w:val="nil"/>
              <w:left w:val="single" w:color="auto" w:sz="4" w:space="0"/>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过</w:t>
            </w:r>
            <w:r>
              <w:rPr>
                <w:rFonts w:ascii="宋体" w:hAnsi="宋体" w:eastAsia="宋体" w:cs="宋体"/>
                <w:kern w:val="0"/>
                <w:sz w:val="13"/>
                <w:szCs w:val="13"/>
              </w:rPr>
              <w:t>                                                                                                                                         </w:t>
            </w:r>
            <w:r>
              <w:rPr>
                <w:rFonts w:hint="eastAsia" w:ascii="仿宋_GB2312" w:hAnsi="宋体" w:eastAsia="仿宋_GB2312" w:cs="宋体"/>
                <w:kern w:val="0"/>
                <w:sz w:val="13"/>
                <w:szCs w:val="13"/>
              </w:rPr>
              <w:t>程</w:t>
            </w:r>
          </w:p>
        </w:tc>
        <w:tc>
          <w:tcPr>
            <w:tcW w:w="3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ascii="宋体" w:hAnsi="宋体" w:eastAsia="宋体" w:cs="宋体"/>
                <w:kern w:val="0"/>
                <w:sz w:val="13"/>
                <w:szCs w:val="13"/>
              </w:rPr>
              <w:t>61</w:t>
            </w:r>
          </w:p>
        </w:tc>
        <w:tc>
          <w:tcPr>
            <w:tcW w:w="440"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预算管理</w:t>
            </w: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管理制度健全性</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8</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①有内部财务管理制度、会计核算制度等管理制度，</w:t>
            </w:r>
            <w:r>
              <w:rPr>
                <w:rFonts w:ascii="宋体" w:hAnsi="宋体" w:eastAsia="宋体" w:cs="宋体"/>
                <w:kern w:val="0"/>
                <w:sz w:val="13"/>
                <w:szCs w:val="13"/>
              </w:rPr>
              <w:t>2</w:t>
            </w:r>
            <w:r>
              <w:rPr>
                <w:rFonts w:hint="eastAsia" w:ascii="仿宋_GB2312" w:hAnsi="宋体" w:eastAsia="仿宋_GB2312" w:cs="宋体"/>
                <w:kern w:val="0"/>
                <w:sz w:val="13"/>
                <w:szCs w:val="13"/>
              </w:rPr>
              <w:t>分；</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②有本部门厉行节约制度</w:t>
            </w:r>
            <w:r>
              <w:rPr>
                <w:rFonts w:ascii="宋体" w:hAnsi="宋体" w:eastAsia="宋体" w:cs="宋体"/>
                <w:kern w:val="0"/>
                <w:sz w:val="13"/>
                <w:szCs w:val="13"/>
              </w:rPr>
              <w:t>,2</w:t>
            </w:r>
            <w:r>
              <w:rPr>
                <w:rFonts w:hint="eastAsia" w:ascii="仿宋_GB2312" w:hAnsi="宋体" w:eastAsia="仿宋_GB2312" w:cs="宋体"/>
                <w:kern w:val="0"/>
                <w:sz w:val="13"/>
                <w:szCs w:val="13"/>
              </w:rPr>
              <w:t>分；</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③相关管理制度合法、合规、完整，</w:t>
            </w:r>
            <w:r>
              <w:rPr>
                <w:rFonts w:ascii="宋体" w:hAnsi="宋体" w:eastAsia="宋体" w:cs="宋体"/>
                <w:kern w:val="0"/>
                <w:sz w:val="13"/>
                <w:szCs w:val="13"/>
              </w:rPr>
              <w:t>2</w:t>
            </w:r>
            <w:r>
              <w:rPr>
                <w:rFonts w:hint="eastAsia" w:ascii="仿宋_GB2312" w:hAnsi="宋体" w:eastAsia="仿宋_GB2312" w:cs="宋体"/>
                <w:kern w:val="0"/>
                <w:sz w:val="13"/>
                <w:szCs w:val="13"/>
              </w:rPr>
              <w:t>分；④相关管理制度得到有效执行，</w:t>
            </w:r>
            <w:r>
              <w:rPr>
                <w:rFonts w:ascii="宋体" w:hAnsi="宋体" w:eastAsia="宋体" w:cs="宋体"/>
                <w:kern w:val="0"/>
                <w:sz w:val="13"/>
                <w:szCs w:val="13"/>
              </w:rPr>
              <w:t>2</w:t>
            </w:r>
            <w:r>
              <w:rPr>
                <w:rFonts w:hint="eastAsia" w:ascii="仿宋_GB2312" w:hAnsi="宋体" w:eastAsia="仿宋_GB2312" w:cs="宋体"/>
                <w:kern w:val="0"/>
                <w:sz w:val="13"/>
                <w:szCs w:val="13"/>
              </w:rPr>
              <w:t>分。</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8</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资金使用合规性</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6</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以上情况每出现一例不符合要求的扣</w:t>
            </w:r>
            <w:r>
              <w:rPr>
                <w:rFonts w:ascii="宋体" w:hAnsi="宋体" w:eastAsia="宋体" w:cs="宋体"/>
                <w:kern w:val="0"/>
                <w:sz w:val="13"/>
                <w:szCs w:val="13"/>
              </w:rPr>
              <w:t>1</w:t>
            </w:r>
            <w:r>
              <w:rPr>
                <w:rFonts w:hint="eastAsia" w:ascii="仿宋_GB2312" w:hAnsi="宋体" w:eastAsia="仿宋_GB2312" w:cs="宋体"/>
                <w:kern w:val="0"/>
                <w:sz w:val="13"/>
                <w:szCs w:val="13"/>
              </w:rPr>
              <w:t>分，扣完为止。</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6</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预决算信息公开性</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5</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①按规定内容公开预决算信息，</w:t>
            </w:r>
            <w:r>
              <w:rPr>
                <w:rFonts w:ascii="宋体" w:hAnsi="宋体" w:eastAsia="宋体" w:cs="宋体"/>
                <w:kern w:val="0"/>
                <w:sz w:val="13"/>
                <w:szCs w:val="13"/>
              </w:rPr>
              <w:t>1</w:t>
            </w:r>
            <w:r>
              <w:rPr>
                <w:rFonts w:hint="eastAsia" w:ascii="仿宋_GB2312" w:hAnsi="宋体" w:eastAsia="仿宋_GB2312" w:cs="宋体"/>
                <w:kern w:val="0"/>
                <w:sz w:val="13"/>
                <w:szCs w:val="13"/>
              </w:rPr>
              <w:t>分；②按规定时限公开预决算信息，</w:t>
            </w:r>
            <w:r>
              <w:rPr>
                <w:rFonts w:ascii="宋体" w:hAnsi="宋体" w:eastAsia="宋体" w:cs="宋体"/>
                <w:kern w:val="0"/>
                <w:sz w:val="13"/>
                <w:szCs w:val="13"/>
              </w:rPr>
              <w:t>1</w:t>
            </w:r>
            <w:r>
              <w:rPr>
                <w:rFonts w:hint="eastAsia" w:ascii="仿宋_GB2312" w:hAnsi="宋体" w:eastAsia="仿宋_GB2312" w:cs="宋体"/>
                <w:kern w:val="0"/>
                <w:sz w:val="13"/>
                <w:szCs w:val="13"/>
              </w:rPr>
              <w:t>分；③基础数据信息和会计信息资料真实，</w:t>
            </w:r>
            <w:r>
              <w:rPr>
                <w:rFonts w:ascii="宋体" w:hAnsi="宋体" w:eastAsia="宋体" w:cs="宋体"/>
                <w:kern w:val="0"/>
                <w:sz w:val="13"/>
                <w:szCs w:val="13"/>
              </w:rPr>
              <w:t>1</w:t>
            </w:r>
            <w:r>
              <w:rPr>
                <w:rFonts w:hint="eastAsia" w:ascii="仿宋_GB2312" w:hAnsi="宋体" w:eastAsia="仿宋_GB2312" w:cs="宋体"/>
                <w:kern w:val="0"/>
                <w:sz w:val="13"/>
                <w:szCs w:val="13"/>
              </w:rPr>
              <w:t>分；④基础数据信息和会计信息资料完整，</w:t>
            </w:r>
            <w:r>
              <w:rPr>
                <w:rFonts w:ascii="宋体" w:hAnsi="宋体" w:eastAsia="宋体" w:cs="宋体"/>
                <w:kern w:val="0"/>
                <w:sz w:val="13"/>
                <w:szCs w:val="13"/>
              </w:rPr>
              <w:t>1</w:t>
            </w:r>
            <w:r>
              <w:rPr>
                <w:rFonts w:hint="eastAsia" w:ascii="仿宋_GB2312" w:hAnsi="宋体" w:eastAsia="仿宋_GB2312" w:cs="宋体"/>
                <w:kern w:val="0"/>
                <w:sz w:val="13"/>
                <w:szCs w:val="13"/>
              </w:rPr>
              <w:t>分；⑤基础数据信息和汇集信息资料准确，</w:t>
            </w:r>
            <w:r>
              <w:rPr>
                <w:rFonts w:ascii="宋体" w:hAnsi="宋体" w:eastAsia="宋体" w:cs="宋体"/>
                <w:kern w:val="0"/>
                <w:sz w:val="13"/>
                <w:szCs w:val="13"/>
              </w:rPr>
              <w:t>1</w:t>
            </w:r>
            <w:r>
              <w:rPr>
                <w:rFonts w:hint="eastAsia" w:ascii="仿宋_GB2312" w:hAnsi="宋体" w:eastAsia="仿宋_GB2312" w:cs="宋体"/>
                <w:kern w:val="0"/>
                <w:sz w:val="13"/>
                <w:szCs w:val="13"/>
              </w:rPr>
              <w:t>分。</w:t>
            </w:r>
            <w:r>
              <w:rPr>
                <w:rFonts w:ascii="宋体" w:hAnsi="宋体" w:eastAsia="宋体" w:cs="宋体"/>
                <w:kern w:val="0"/>
                <w:sz w:val="13"/>
                <w:szCs w:val="13"/>
              </w:rPr>
              <w:t xml:space="preserve">  </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预决算信息是指与部门预算、执行、决算、监督、绩效等管理相关的信息。</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5</w:t>
            </w:r>
          </w:p>
        </w:tc>
      </w:tr>
      <w:tr>
        <w:tblPrEx>
          <w:tblCellMar>
            <w:top w:w="0" w:type="dxa"/>
            <w:left w:w="0" w:type="dxa"/>
            <w:bottom w:w="0" w:type="dxa"/>
            <w:right w:w="0" w:type="dxa"/>
          </w:tblCellMar>
        </w:tblPrEx>
        <w:tc>
          <w:tcPr>
            <w:tcW w:w="45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产出及效率</w:t>
            </w:r>
          </w:p>
        </w:tc>
        <w:tc>
          <w:tcPr>
            <w:tcW w:w="340"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26</w:t>
            </w:r>
          </w:p>
        </w:tc>
        <w:tc>
          <w:tcPr>
            <w:tcW w:w="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职责履行</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8</w:t>
            </w:r>
          </w:p>
        </w:tc>
        <w:tc>
          <w:tcPr>
            <w:tcW w:w="720" w:type="dxa"/>
            <w:tcBorders>
              <w:top w:val="nil"/>
              <w:left w:val="nil"/>
              <w:bottom w:val="nil"/>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重点工作实际完成率</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8</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根据绩效办</w:t>
            </w:r>
            <w:r>
              <w:rPr>
                <w:rFonts w:ascii="宋体" w:hAnsi="宋体" w:eastAsia="宋体" w:cs="宋体"/>
                <w:kern w:val="0"/>
                <w:sz w:val="13"/>
                <w:szCs w:val="13"/>
              </w:rPr>
              <w:t>2015</w:t>
            </w:r>
            <w:r>
              <w:rPr>
                <w:rFonts w:hint="eastAsia" w:ascii="仿宋_GB2312" w:hAnsi="宋体" w:eastAsia="仿宋_GB2312" w:cs="宋体"/>
                <w:kern w:val="0"/>
                <w:sz w:val="13"/>
                <w:szCs w:val="13"/>
              </w:rPr>
              <w:t>年对各部门为民办实事和部门重点工程与重点工作考核分数折算。</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该项得分</w:t>
            </w:r>
            <w:r>
              <w:rPr>
                <w:rFonts w:ascii="宋体" w:hAnsi="宋体" w:eastAsia="宋体" w:cs="宋体"/>
                <w:kern w:val="0"/>
                <w:sz w:val="13"/>
                <w:szCs w:val="13"/>
              </w:rPr>
              <w:t>=</w:t>
            </w:r>
            <w:r>
              <w:rPr>
                <w:rFonts w:hint="eastAsia" w:ascii="仿宋_GB2312" w:hAnsi="宋体" w:eastAsia="仿宋_GB2312" w:cs="宋体"/>
                <w:kern w:val="0"/>
                <w:sz w:val="13"/>
                <w:szCs w:val="13"/>
              </w:rPr>
              <w:t>（绩效办对应部分考核得分</w:t>
            </w:r>
            <w:r>
              <w:rPr>
                <w:rFonts w:ascii="宋体" w:hAnsi="宋体" w:eastAsia="宋体" w:cs="宋体"/>
                <w:kern w:val="0"/>
                <w:sz w:val="13"/>
                <w:szCs w:val="13"/>
              </w:rPr>
              <w:t>/500</w:t>
            </w:r>
            <w:r>
              <w:rPr>
                <w:rFonts w:hint="eastAsia" w:ascii="仿宋_GB2312" w:hAnsi="宋体" w:eastAsia="仿宋_GB2312" w:cs="宋体"/>
                <w:kern w:val="0"/>
                <w:sz w:val="13"/>
                <w:szCs w:val="13"/>
              </w:rPr>
              <w:t>）</w:t>
            </w:r>
            <w:r>
              <w:rPr>
                <w:rFonts w:ascii="宋体" w:hAnsi="宋体" w:eastAsia="宋体" w:cs="宋体"/>
                <w:kern w:val="0"/>
                <w:sz w:val="13"/>
                <w:szCs w:val="13"/>
              </w:rPr>
              <w:t>*8</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6"/>
                <w:szCs w:val="16"/>
              </w:rPr>
              <w:t>8</w:t>
            </w:r>
            <w:r>
              <w:rPr>
                <w:rFonts w:ascii="宋体" w:hAnsi="宋体" w:eastAsia="宋体" w:cs="宋体"/>
                <w:kern w:val="0"/>
                <w:sz w:val="24"/>
                <w:szCs w:val="24"/>
              </w:rPr>
              <w:t>　</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440"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履职</w:t>
            </w:r>
            <w:r>
              <w:rPr>
                <w:rFonts w:ascii="宋体" w:hAnsi="宋体" w:eastAsia="宋体" w:cs="宋体"/>
                <w:kern w:val="0"/>
                <w:sz w:val="24"/>
                <w:szCs w:val="24"/>
              </w:rPr>
              <w:t xml:space="preserve"> </w:t>
            </w:r>
            <w:r>
              <w:rPr>
                <w:rFonts w:hint="eastAsia" w:ascii="仿宋_GB2312" w:hAnsi="宋体" w:eastAsia="仿宋_GB2312" w:cs="宋体"/>
                <w:kern w:val="0"/>
                <w:sz w:val="13"/>
                <w:szCs w:val="13"/>
              </w:rPr>
              <w:t>效益</w:t>
            </w:r>
          </w:p>
        </w:tc>
        <w:tc>
          <w:tcPr>
            <w:tcW w:w="340" w:type="dxa"/>
            <w:vMerge w:val="restart"/>
            <w:tcBorders>
              <w:top w:val="nil"/>
              <w:left w:val="nil"/>
              <w:bottom w:val="single" w:color="000000"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6</w:t>
            </w:r>
          </w:p>
        </w:tc>
        <w:tc>
          <w:tcPr>
            <w:tcW w:w="72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经济效益</w:t>
            </w:r>
          </w:p>
        </w:tc>
        <w:tc>
          <w:tcPr>
            <w:tcW w:w="340" w:type="dxa"/>
            <w:vMerge w:val="restart"/>
            <w:tcBorders>
              <w:top w:val="nil"/>
              <w:left w:val="nil"/>
              <w:bottom w:val="nil"/>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6</w:t>
            </w:r>
          </w:p>
        </w:tc>
        <w:tc>
          <w:tcPr>
            <w:tcW w:w="4130" w:type="dxa"/>
            <w:gridSpan w:val="2"/>
            <w:vMerge w:val="restart"/>
            <w:tcBorders>
              <w:top w:val="nil"/>
              <w:left w:val="nil"/>
              <w:bottom w:val="nil"/>
              <w:right w:val="single" w:color="000000"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此两项指标为设置部门整体支出绩效评价指标时必须考虑的共性要素，可根据部门实际情况有选择的进行设置，并将其细化为相应的个性化指标。</w:t>
            </w:r>
          </w:p>
        </w:tc>
        <w:tc>
          <w:tcPr>
            <w:tcW w:w="410" w:type="dxa"/>
            <w:tcBorders>
              <w:top w:val="nil"/>
              <w:left w:val="nil"/>
              <w:bottom w:val="nil"/>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000000"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hint="eastAsia" w:ascii="仿宋_GB2312" w:hAnsi="宋体" w:eastAsia="仿宋_GB2312" w:cs="宋体"/>
                <w:kern w:val="0"/>
                <w:sz w:val="13"/>
                <w:szCs w:val="13"/>
              </w:rPr>
              <w:t>社会效益</w:t>
            </w:r>
          </w:p>
        </w:tc>
        <w:tc>
          <w:tcPr>
            <w:tcW w:w="0" w:type="auto"/>
            <w:vMerge w:val="continue"/>
            <w:tcBorders>
              <w:top w:val="nil"/>
              <w:left w:val="nil"/>
              <w:bottom w:val="nil"/>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gridSpan w:val="2"/>
            <w:vMerge w:val="continue"/>
            <w:tcBorders>
              <w:top w:val="nil"/>
              <w:left w:val="nil"/>
              <w:bottom w:val="nil"/>
              <w:right w:val="single" w:color="000000" w:sz="4" w:space="0"/>
            </w:tcBorders>
            <w:shd w:val="clear" w:color="auto" w:fill="auto"/>
            <w:vAlign w:val="center"/>
          </w:tcPr>
          <w:p>
            <w:pPr>
              <w:widowControl/>
              <w:jc w:val="left"/>
              <w:rPr>
                <w:rFonts w:ascii="宋体" w:hAnsi="宋体" w:eastAsia="宋体" w:cs="宋体"/>
                <w:kern w:val="0"/>
                <w:sz w:val="24"/>
                <w:szCs w:val="24"/>
              </w:rPr>
            </w:pPr>
          </w:p>
        </w:tc>
        <w:tc>
          <w:tcPr>
            <w:tcW w:w="410" w:type="dxa"/>
            <w:tcBorders>
              <w:top w:val="nil"/>
              <w:left w:val="nil"/>
              <w:bottom w:val="nil"/>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6"/>
                <w:szCs w:val="16"/>
              </w:rPr>
              <w:t>5</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340" w:type="dxa"/>
            <w:vMerge w:val="restart"/>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12</w:t>
            </w: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行政效能</w:t>
            </w:r>
          </w:p>
        </w:tc>
        <w:tc>
          <w:tcPr>
            <w:tcW w:w="34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6</w:t>
            </w:r>
          </w:p>
        </w:tc>
        <w:tc>
          <w:tcPr>
            <w:tcW w:w="192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促进部门改进文风会风，加强经费及资产管理，推动网上办事，提高行政效率，降低行政成本效果较好的计</w:t>
            </w:r>
            <w:r>
              <w:rPr>
                <w:rFonts w:ascii="宋体" w:hAnsi="宋体" w:eastAsia="宋体" w:cs="宋体"/>
                <w:kern w:val="0"/>
                <w:sz w:val="13"/>
                <w:szCs w:val="13"/>
              </w:rPr>
              <w:t>6</w:t>
            </w:r>
            <w:r>
              <w:rPr>
                <w:rFonts w:hint="eastAsia" w:ascii="仿宋_GB2312" w:hAnsi="宋体" w:eastAsia="仿宋_GB2312" w:cs="宋体"/>
                <w:kern w:val="0"/>
                <w:sz w:val="13"/>
                <w:szCs w:val="13"/>
              </w:rPr>
              <w:t>分；一般</w:t>
            </w:r>
            <w:r>
              <w:rPr>
                <w:rFonts w:ascii="宋体" w:hAnsi="宋体" w:eastAsia="宋体" w:cs="宋体"/>
                <w:kern w:val="0"/>
                <w:sz w:val="13"/>
                <w:szCs w:val="13"/>
              </w:rPr>
              <w:t>3</w:t>
            </w:r>
            <w:r>
              <w:rPr>
                <w:rFonts w:hint="eastAsia" w:ascii="仿宋_GB2312" w:hAnsi="宋体" w:eastAsia="仿宋_GB2312" w:cs="宋体"/>
                <w:kern w:val="0"/>
                <w:sz w:val="13"/>
                <w:szCs w:val="13"/>
              </w:rPr>
              <w:t>分；无效果或者效果不明显</w:t>
            </w:r>
            <w:r>
              <w:rPr>
                <w:rFonts w:ascii="宋体" w:hAnsi="宋体" w:eastAsia="宋体" w:cs="宋体"/>
                <w:kern w:val="0"/>
                <w:sz w:val="13"/>
                <w:szCs w:val="13"/>
              </w:rPr>
              <w:t>0</w:t>
            </w:r>
            <w:r>
              <w:rPr>
                <w:rFonts w:hint="eastAsia" w:ascii="仿宋_GB2312" w:hAnsi="宋体" w:eastAsia="仿宋_GB2312" w:cs="宋体"/>
                <w:kern w:val="0"/>
                <w:sz w:val="13"/>
                <w:szCs w:val="13"/>
              </w:rPr>
              <w:t>分。</w:t>
            </w:r>
          </w:p>
        </w:tc>
        <w:tc>
          <w:tcPr>
            <w:tcW w:w="221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根据部门自评材料评定。</w:t>
            </w:r>
          </w:p>
        </w:tc>
        <w:tc>
          <w:tcPr>
            <w:tcW w:w="410" w:type="dxa"/>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6</w:t>
            </w:r>
          </w:p>
        </w:tc>
      </w:tr>
      <w:tr>
        <w:tblPrEx>
          <w:tblCellMar>
            <w:top w:w="0" w:type="dxa"/>
            <w:left w:w="0" w:type="dxa"/>
            <w:bottom w:w="0" w:type="dxa"/>
            <w:right w:w="0" w:type="dxa"/>
          </w:tblCellMar>
        </w:tblPrEx>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社会公众或服务对象满意度</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6</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ascii="宋体" w:hAnsi="宋体" w:eastAsia="宋体" w:cs="宋体"/>
                <w:kern w:val="0"/>
                <w:sz w:val="13"/>
                <w:szCs w:val="13"/>
              </w:rPr>
              <w:t>90%</w:t>
            </w:r>
            <w:r>
              <w:rPr>
                <w:rFonts w:hint="eastAsia" w:ascii="仿宋_GB2312" w:hAnsi="宋体" w:eastAsia="仿宋_GB2312" w:cs="宋体"/>
                <w:kern w:val="0"/>
                <w:sz w:val="13"/>
                <w:szCs w:val="13"/>
              </w:rPr>
              <w:t>（含）以上计</w:t>
            </w:r>
            <w:r>
              <w:rPr>
                <w:rFonts w:ascii="宋体" w:hAnsi="宋体" w:eastAsia="宋体" w:cs="宋体"/>
                <w:kern w:val="0"/>
                <w:sz w:val="13"/>
                <w:szCs w:val="13"/>
              </w:rPr>
              <w:t>6</w:t>
            </w:r>
            <w:r>
              <w:rPr>
                <w:rFonts w:hint="eastAsia" w:ascii="仿宋_GB2312" w:hAnsi="宋体" w:eastAsia="仿宋_GB2312" w:cs="宋体"/>
                <w:kern w:val="0"/>
                <w:sz w:val="13"/>
                <w:szCs w:val="13"/>
              </w:rPr>
              <w:t>分；</w:t>
            </w:r>
            <w:r>
              <w:rPr>
                <w:rFonts w:ascii="宋体" w:hAnsi="宋体" w:eastAsia="宋体" w:cs="宋体"/>
                <w:kern w:val="0"/>
                <w:sz w:val="13"/>
                <w:szCs w:val="13"/>
              </w:rPr>
              <w:br w:type="textWrapping"/>
            </w:r>
            <w:r>
              <w:rPr>
                <w:rFonts w:ascii="宋体" w:hAnsi="宋体" w:eastAsia="宋体" w:cs="宋体"/>
                <w:kern w:val="0"/>
                <w:sz w:val="13"/>
                <w:szCs w:val="13"/>
              </w:rPr>
              <w:t>  80%</w:t>
            </w:r>
            <w:r>
              <w:rPr>
                <w:rFonts w:hint="eastAsia" w:ascii="仿宋_GB2312" w:hAnsi="宋体" w:eastAsia="仿宋_GB2312" w:cs="宋体"/>
                <w:kern w:val="0"/>
                <w:sz w:val="13"/>
                <w:szCs w:val="13"/>
              </w:rPr>
              <w:t>（含）</w:t>
            </w:r>
            <w:r>
              <w:rPr>
                <w:rFonts w:ascii="宋体" w:hAnsi="宋体" w:eastAsia="宋体" w:cs="宋体"/>
                <w:kern w:val="0"/>
                <w:sz w:val="13"/>
                <w:szCs w:val="13"/>
              </w:rPr>
              <w:t>-90%</w:t>
            </w:r>
            <w:r>
              <w:rPr>
                <w:rFonts w:hint="eastAsia" w:ascii="仿宋_GB2312" w:hAnsi="宋体" w:eastAsia="仿宋_GB2312" w:cs="宋体"/>
                <w:kern w:val="0"/>
                <w:sz w:val="13"/>
                <w:szCs w:val="13"/>
              </w:rPr>
              <w:t>，计</w:t>
            </w:r>
            <w:r>
              <w:rPr>
                <w:rFonts w:ascii="宋体" w:hAnsi="宋体" w:eastAsia="宋体" w:cs="宋体"/>
                <w:kern w:val="0"/>
                <w:sz w:val="13"/>
                <w:szCs w:val="13"/>
              </w:rPr>
              <w:t>4</w:t>
            </w:r>
            <w:r>
              <w:rPr>
                <w:rFonts w:hint="eastAsia" w:ascii="仿宋_GB2312" w:hAnsi="宋体" w:eastAsia="仿宋_GB2312" w:cs="宋体"/>
                <w:kern w:val="0"/>
                <w:sz w:val="13"/>
                <w:szCs w:val="13"/>
              </w:rPr>
              <w:t>分；</w:t>
            </w:r>
            <w:r>
              <w:rPr>
                <w:rFonts w:ascii="宋体" w:hAnsi="宋体" w:eastAsia="宋体" w:cs="宋体"/>
                <w:kern w:val="0"/>
                <w:sz w:val="13"/>
                <w:szCs w:val="13"/>
              </w:rPr>
              <w:br w:type="textWrapping"/>
            </w:r>
            <w:r>
              <w:rPr>
                <w:rFonts w:ascii="宋体" w:hAnsi="宋体" w:eastAsia="宋体" w:cs="宋体"/>
                <w:kern w:val="0"/>
                <w:sz w:val="13"/>
                <w:szCs w:val="13"/>
              </w:rPr>
              <w:t>  70%</w:t>
            </w:r>
            <w:r>
              <w:rPr>
                <w:rFonts w:hint="eastAsia" w:ascii="仿宋_GB2312" w:hAnsi="宋体" w:eastAsia="仿宋_GB2312" w:cs="宋体"/>
                <w:kern w:val="0"/>
                <w:sz w:val="13"/>
                <w:szCs w:val="13"/>
              </w:rPr>
              <w:t>（含）</w:t>
            </w:r>
            <w:r>
              <w:rPr>
                <w:rFonts w:ascii="宋体" w:hAnsi="宋体" w:eastAsia="宋体" w:cs="宋体"/>
                <w:kern w:val="0"/>
                <w:sz w:val="13"/>
                <w:szCs w:val="13"/>
              </w:rPr>
              <w:t>-80%</w:t>
            </w:r>
            <w:r>
              <w:rPr>
                <w:rFonts w:hint="eastAsia" w:ascii="仿宋_GB2312" w:hAnsi="宋体" w:eastAsia="仿宋_GB2312" w:cs="宋体"/>
                <w:kern w:val="0"/>
                <w:sz w:val="13"/>
                <w:szCs w:val="13"/>
              </w:rPr>
              <w:t>，计</w:t>
            </w:r>
            <w:r>
              <w:rPr>
                <w:rFonts w:ascii="宋体" w:hAnsi="宋体" w:eastAsia="宋体" w:cs="宋体"/>
                <w:kern w:val="0"/>
                <w:sz w:val="13"/>
                <w:szCs w:val="13"/>
              </w:rPr>
              <w:t>2</w:t>
            </w:r>
            <w:r>
              <w:rPr>
                <w:rFonts w:hint="eastAsia" w:ascii="仿宋_GB2312" w:hAnsi="宋体" w:eastAsia="仿宋_GB2312" w:cs="宋体"/>
                <w:kern w:val="0"/>
                <w:sz w:val="13"/>
                <w:szCs w:val="13"/>
              </w:rPr>
              <w:t>分；</w:t>
            </w:r>
            <w:r>
              <w:rPr>
                <w:rFonts w:ascii="宋体" w:hAnsi="宋体" w:eastAsia="宋体" w:cs="宋体"/>
                <w:kern w:val="0"/>
                <w:sz w:val="13"/>
                <w:szCs w:val="13"/>
              </w:rPr>
              <w:br w:type="textWrapping"/>
            </w:r>
            <w:r>
              <w:rPr>
                <w:rFonts w:ascii="宋体" w:hAnsi="宋体" w:eastAsia="宋体" w:cs="宋体"/>
                <w:kern w:val="0"/>
                <w:sz w:val="13"/>
                <w:szCs w:val="13"/>
              </w:rPr>
              <w:t xml:space="preserve">  </w:t>
            </w:r>
            <w:r>
              <w:rPr>
                <w:rFonts w:hint="eastAsia" w:ascii="仿宋_GB2312" w:hAnsi="宋体" w:eastAsia="仿宋_GB2312" w:cs="宋体"/>
                <w:kern w:val="0"/>
                <w:sz w:val="13"/>
                <w:szCs w:val="13"/>
              </w:rPr>
              <w:t>低于</w:t>
            </w:r>
            <w:r>
              <w:rPr>
                <w:rFonts w:ascii="宋体" w:hAnsi="宋体" w:eastAsia="宋体" w:cs="宋体"/>
                <w:kern w:val="0"/>
                <w:sz w:val="13"/>
                <w:szCs w:val="13"/>
              </w:rPr>
              <w:t>70%</w:t>
            </w:r>
            <w:r>
              <w:rPr>
                <w:rFonts w:hint="eastAsia" w:ascii="仿宋_GB2312" w:hAnsi="宋体" w:eastAsia="仿宋_GB2312" w:cs="宋体"/>
                <w:kern w:val="0"/>
                <w:sz w:val="13"/>
                <w:szCs w:val="13"/>
              </w:rPr>
              <w:t>计</w:t>
            </w:r>
            <w:r>
              <w:rPr>
                <w:rFonts w:ascii="宋体" w:hAnsi="宋体" w:eastAsia="宋体" w:cs="宋体"/>
                <w:kern w:val="0"/>
                <w:sz w:val="13"/>
                <w:szCs w:val="13"/>
              </w:rPr>
              <w:t>0</w:t>
            </w:r>
            <w:r>
              <w:rPr>
                <w:rFonts w:hint="eastAsia" w:ascii="仿宋_GB2312" w:hAnsi="宋体" w:eastAsia="仿宋_GB2312" w:cs="宋体"/>
                <w:kern w:val="0"/>
                <w:sz w:val="13"/>
                <w:szCs w:val="13"/>
              </w:rPr>
              <w:t>分。</w:t>
            </w: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社会公众或服务对象是指部门（单位）履行职责而影响到的部门、群体或个人，一般采取社会调查的方式。</w:t>
            </w: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6"/>
                <w:szCs w:val="16"/>
              </w:rPr>
              <w:t>5</w:t>
            </w:r>
          </w:p>
        </w:tc>
      </w:tr>
      <w:tr>
        <w:tblPrEx>
          <w:tblCellMar>
            <w:top w:w="0" w:type="dxa"/>
            <w:left w:w="0" w:type="dxa"/>
            <w:bottom w:w="0" w:type="dxa"/>
            <w:right w:w="0" w:type="dxa"/>
          </w:tblCellMar>
        </w:tblPrEx>
        <w:tc>
          <w:tcPr>
            <w:tcW w:w="45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hint="eastAsia" w:ascii="仿宋_GB2312" w:hAnsi="宋体" w:eastAsia="仿宋_GB2312" w:cs="宋体"/>
                <w:kern w:val="0"/>
                <w:sz w:val="13"/>
                <w:szCs w:val="13"/>
              </w:rPr>
              <w:t>合计</w:t>
            </w: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ascii="宋体" w:hAnsi="宋体" w:eastAsia="宋体" w:cs="宋体"/>
                <w:kern w:val="0"/>
                <w:sz w:val="13"/>
                <w:szCs w:val="13"/>
              </w:rPr>
              <w:t>100</w:t>
            </w:r>
          </w:p>
        </w:tc>
        <w:tc>
          <w:tcPr>
            <w:tcW w:w="4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left"/>
              <w:rPr>
                <w:rFonts w:ascii="宋体" w:hAnsi="宋体" w:eastAsia="宋体" w:cs="宋体"/>
                <w:kern w:val="0"/>
                <w:sz w:val="24"/>
                <w:szCs w:val="24"/>
              </w:rPr>
            </w:pPr>
            <w:r>
              <w:rPr>
                <w:rFonts w:ascii="宋体" w:hAnsi="宋体" w:eastAsia="宋体" w:cs="宋体"/>
                <w:kern w:val="0"/>
                <w:sz w:val="13"/>
                <w:szCs w:val="13"/>
              </w:rPr>
              <w:t>100</w:t>
            </w:r>
          </w:p>
        </w:tc>
        <w:tc>
          <w:tcPr>
            <w:tcW w:w="7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34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90" w:lineRule="atLeast"/>
              <w:jc w:val="center"/>
              <w:rPr>
                <w:rFonts w:ascii="宋体" w:hAnsi="宋体" w:eastAsia="宋体" w:cs="宋体"/>
                <w:kern w:val="0"/>
                <w:sz w:val="24"/>
                <w:szCs w:val="24"/>
              </w:rPr>
            </w:pPr>
            <w:r>
              <w:rPr>
                <w:rFonts w:ascii="宋体" w:hAnsi="宋体" w:eastAsia="宋体" w:cs="宋体"/>
                <w:kern w:val="0"/>
                <w:sz w:val="13"/>
                <w:szCs w:val="13"/>
              </w:rPr>
              <w:t>100</w:t>
            </w:r>
          </w:p>
        </w:tc>
        <w:tc>
          <w:tcPr>
            <w:tcW w:w="192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22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41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200" w:lineRule="atLeast"/>
              <w:jc w:val="left"/>
              <w:rPr>
                <w:rFonts w:ascii="宋体" w:hAnsi="宋体" w:eastAsia="宋体" w:cs="宋体"/>
                <w:kern w:val="0"/>
                <w:sz w:val="24"/>
                <w:szCs w:val="24"/>
              </w:rPr>
            </w:pPr>
            <w:r>
              <w:rPr>
                <w:rFonts w:ascii="宋体" w:hAnsi="宋体" w:eastAsia="宋体" w:cs="宋体"/>
                <w:kern w:val="0"/>
                <w:sz w:val="16"/>
                <w:szCs w:val="16"/>
              </w:rPr>
              <w:t>98</w:t>
            </w:r>
          </w:p>
        </w:tc>
      </w:tr>
    </w:tbl>
    <w:p>
      <w:pPr>
        <w:widowControl/>
        <w:spacing w:line="320" w:lineRule="atLeast"/>
        <w:jc w:val="left"/>
        <w:rPr>
          <w:rFonts w:ascii="Helvetica" w:hAnsi="Helvetica" w:eastAsia="宋体" w:cs="Helvetica"/>
          <w:color w:val="333333"/>
          <w:kern w:val="0"/>
          <w:sz w:val="16"/>
          <w:szCs w:val="16"/>
        </w:rPr>
      </w:pPr>
      <w:r>
        <w:rPr>
          <w:rFonts w:hint="eastAsia" w:ascii="仿宋" w:hAnsi="仿宋" w:eastAsia="仿宋" w:cs="Helvetica"/>
          <w:color w:val="333333"/>
          <w:kern w:val="0"/>
          <w:szCs w:val="21"/>
        </w:rPr>
        <w:br w:type="textWrapping" w:clear="all"/>
      </w:r>
      <w:r>
        <w:rPr>
          <w:rFonts w:ascii="Helvetica" w:hAnsi="Helvetica" w:eastAsia="宋体" w:cs="Helvetica"/>
          <w:color w:val="333333"/>
          <w:kern w:val="0"/>
          <w:sz w:val="16"/>
          <w:szCs w:val="16"/>
        </w:rPr>
        <w:t> </w:t>
      </w:r>
    </w:p>
    <w:tbl>
      <w:tblPr>
        <w:tblStyle w:val="6"/>
        <w:tblW w:w="7650" w:type="dxa"/>
        <w:tblInd w:w="0" w:type="dxa"/>
        <w:tblLayout w:type="autofit"/>
        <w:tblCellMar>
          <w:top w:w="0" w:type="dxa"/>
          <w:left w:w="0" w:type="dxa"/>
          <w:bottom w:w="0" w:type="dxa"/>
          <w:right w:w="0" w:type="dxa"/>
        </w:tblCellMar>
      </w:tblPr>
      <w:tblGrid>
        <w:gridCol w:w="2601"/>
        <w:gridCol w:w="944"/>
        <w:gridCol w:w="856"/>
        <w:gridCol w:w="823"/>
        <w:gridCol w:w="1076"/>
        <w:gridCol w:w="713"/>
        <w:gridCol w:w="637"/>
      </w:tblGrid>
      <w:tr>
        <w:tblPrEx>
          <w:tblCellMar>
            <w:top w:w="0" w:type="dxa"/>
            <w:left w:w="0" w:type="dxa"/>
            <w:bottom w:w="0" w:type="dxa"/>
            <w:right w:w="0" w:type="dxa"/>
          </w:tblCellMar>
        </w:tblPrEx>
        <w:trPr>
          <w:trHeight w:val="280" w:hRule="atLeast"/>
        </w:trPr>
        <w:tc>
          <w:tcPr>
            <w:tcW w:w="237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财政供养人员情况</w:t>
            </w:r>
          </w:p>
        </w:tc>
        <w:tc>
          <w:tcPr>
            <w:tcW w:w="1570" w:type="dxa"/>
            <w:gridSpan w:val="2"/>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编制数</w:t>
            </w:r>
          </w:p>
        </w:tc>
        <w:tc>
          <w:tcPr>
            <w:tcW w:w="1730" w:type="dxa"/>
            <w:gridSpan w:val="2"/>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2019</w:t>
            </w:r>
            <w:r>
              <w:rPr>
                <w:rFonts w:hint="eastAsia" w:ascii="仿宋_GB2312" w:hAnsi="宋体" w:eastAsia="仿宋_GB2312" w:cs="宋体"/>
                <w:kern w:val="0"/>
                <w:sz w:val="16"/>
                <w:szCs w:val="16"/>
              </w:rPr>
              <w:t>年实际在职人数</w:t>
            </w:r>
          </w:p>
        </w:tc>
        <w:tc>
          <w:tcPr>
            <w:tcW w:w="1220" w:type="dxa"/>
            <w:gridSpan w:val="2"/>
            <w:tcBorders>
              <w:top w:val="single" w:color="auto" w:sz="4" w:space="0"/>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控制率</w:t>
            </w:r>
          </w:p>
        </w:tc>
      </w:tr>
      <w:tr>
        <w:tblPrEx>
          <w:tblCellMar>
            <w:top w:w="0" w:type="dxa"/>
            <w:left w:w="0" w:type="dxa"/>
            <w:bottom w:w="0" w:type="dxa"/>
            <w:right w:w="0" w:type="dxa"/>
          </w:tblCellMar>
        </w:tblPrEx>
        <w:trPr>
          <w:trHeight w:val="120" w:hRule="atLeast"/>
        </w:trPr>
        <w:tc>
          <w:tcPr>
            <w:tcW w:w="0" w:type="auto"/>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1570"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20" w:lineRule="atLeast"/>
              <w:jc w:val="cente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72</w:t>
            </w:r>
          </w:p>
        </w:tc>
        <w:tc>
          <w:tcPr>
            <w:tcW w:w="1730"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spacing w:line="120" w:lineRule="atLeast"/>
              <w:jc w:val="center"/>
              <w:rPr>
                <w:rFonts w:ascii="宋体" w:hAnsi="宋体" w:eastAsia="宋体" w:cs="宋体"/>
                <w:kern w:val="0"/>
                <w:sz w:val="24"/>
                <w:szCs w:val="24"/>
              </w:rPr>
            </w:pPr>
            <w:r>
              <w:rPr>
                <w:rFonts w:ascii="宋体" w:hAnsi="宋体" w:eastAsia="宋体" w:cs="宋体"/>
                <w:kern w:val="0"/>
                <w:sz w:val="24"/>
                <w:szCs w:val="24"/>
              </w:rPr>
              <w:t>　</w:t>
            </w:r>
            <w:r>
              <w:rPr>
                <w:rFonts w:ascii="宋体" w:hAnsi="宋体" w:eastAsia="宋体" w:cs="宋体"/>
                <w:kern w:val="0"/>
                <w:sz w:val="16"/>
                <w:szCs w:val="16"/>
              </w:rPr>
              <w:t>59</w:t>
            </w:r>
          </w:p>
        </w:tc>
        <w:tc>
          <w:tcPr>
            <w:tcW w:w="1220" w:type="dxa"/>
            <w:gridSpan w:val="2"/>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24"/>
                <w:szCs w:val="24"/>
              </w:rPr>
              <w:t>　</w:t>
            </w:r>
          </w:p>
          <w:p>
            <w:pPr>
              <w:widowControl/>
              <w:spacing w:line="120" w:lineRule="atLeast"/>
              <w:jc w:val="center"/>
              <w:rPr>
                <w:rFonts w:ascii="宋体" w:hAnsi="宋体" w:eastAsia="宋体" w:cs="宋体"/>
                <w:kern w:val="0"/>
                <w:sz w:val="24"/>
                <w:szCs w:val="24"/>
              </w:rPr>
            </w:pPr>
            <w:r>
              <w:rPr>
                <w:rFonts w:ascii="宋体" w:hAnsi="宋体" w:eastAsia="宋体" w:cs="宋体"/>
                <w:kern w:val="0"/>
                <w:sz w:val="16"/>
                <w:szCs w:val="16"/>
              </w:rPr>
              <w:t>100%</w:t>
            </w:r>
          </w:p>
        </w:tc>
      </w:tr>
      <w:tr>
        <w:tblPrEx>
          <w:tblCellMar>
            <w:top w:w="0" w:type="dxa"/>
            <w:left w:w="0" w:type="dxa"/>
            <w:bottom w:w="0" w:type="dxa"/>
            <w:right w:w="0" w:type="dxa"/>
          </w:tblCellMar>
        </w:tblPrEx>
        <w:trPr>
          <w:trHeight w:val="31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经费控制情况</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2018</w:t>
            </w:r>
            <w:r>
              <w:rPr>
                <w:rFonts w:hint="eastAsia" w:ascii="仿宋_GB2312" w:hAnsi="宋体" w:eastAsia="仿宋_GB2312" w:cs="宋体"/>
                <w:kern w:val="0"/>
                <w:sz w:val="16"/>
                <w:szCs w:val="16"/>
              </w:rPr>
              <w:t>年决算数</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2019</w:t>
            </w:r>
            <w:r>
              <w:rPr>
                <w:rFonts w:hint="eastAsia" w:ascii="仿宋_GB2312" w:hAnsi="宋体" w:eastAsia="仿宋_GB2312" w:cs="宋体"/>
                <w:kern w:val="0"/>
                <w:sz w:val="16"/>
                <w:szCs w:val="16"/>
              </w:rPr>
              <w:t>年预算数</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2019</w:t>
            </w:r>
            <w:r>
              <w:rPr>
                <w:rFonts w:hint="eastAsia" w:ascii="仿宋_GB2312" w:hAnsi="宋体" w:eastAsia="仿宋_GB2312" w:cs="宋体"/>
                <w:kern w:val="0"/>
                <w:sz w:val="16"/>
                <w:szCs w:val="16"/>
              </w:rPr>
              <w:t>年决算数</w:t>
            </w: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16"/>
                <w:szCs w:val="16"/>
              </w:rPr>
              <w:t>三公经费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27.94</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28</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16"/>
                <w:szCs w:val="16"/>
                <w:lang w:val="en-US" w:eastAsia="zh-CN"/>
              </w:rPr>
              <w:t>28.7</w:t>
            </w:r>
          </w:p>
        </w:tc>
      </w:tr>
      <w:tr>
        <w:tblPrEx>
          <w:tblCellMar>
            <w:top w:w="0" w:type="dxa"/>
            <w:left w:w="0" w:type="dxa"/>
            <w:bottom w:w="0" w:type="dxa"/>
            <w:right w:w="0" w:type="dxa"/>
          </w:tblCellMar>
        </w:tblPrEx>
        <w:trPr>
          <w:trHeight w:val="26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1</w:t>
            </w:r>
            <w:r>
              <w:rPr>
                <w:rFonts w:hint="eastAsia" w:ascii="仿宋_GB2312" w:hAnsi="宋体" w:eastAsia="仿宋_GB2312" w:cs="宋体"/>
                <w:kern w:val="0"/>
                <w:sz w:val="16"/>
                <w:szCs w:val="16"/>
              </w:rPr>
              <w:t>、公务用车购置和维护经费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10"/>
                <w:szCs w:val="10"/>
              </w:rPr>
            </w:pP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hint="default" w:ascii="宋体" w:hAnsi="宋体" w:eastAsia="宋体" w:cs="宋体"/>
                <w:kern w:val="0"/>
                <w:sz w:val="10"/>
                <w:szCs w:val="10"/>
                <w:lang w:val="en-US" w:eastAsia="zh-CN"/>
              </w:rPr>
            </w:pPr>
            <w:bookmarkStart w:id="0" w:name="_GoBack"/>
            <w:r>
              <w:rPr>
                <w:rFonts w:hint="eastAsia" w:ascii="宋体" w:hAnsi="宋体" w:eastAsia="宋体" w:cs="宋体"/>
                <w:kern w:val="0"/>
                <w:sz w:val="15"/>
                <w:szCs w:val="15"/>
                <w:lang w:val="en-US" w:eastAsia="zh-CN"/>
              </w:rPr>
              <w:t>1.2</w:t>
            </w:r>
            <w:bookmarkEnd w:id="0"/>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xml:space="preserve">       </w:t>
            </w:r>
            <w:r>
              <w:rPr>
                <w:rFonts w:hint="eastAsia" w:ascii="仿宋_GB2312" w:hAnsi="宋体" w:eastAsia="仿宋_GB2312" w:cs="宋体"/>
                <w:kern w:val="0"/>
                <w:sz w:val="16"/>
                <w:szCs w:val="16"/>
              </w:rPr>
              <w:t>其中：公车购置</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xml:space="preserve">             </w:t>
            </w:r>
            <w:r>
              <w:rPr>
                <w:rFonts w:hint="eastAsia" w:ascii="仿宋_GB2312" w:hAnsi="宋体" w:eastAsia="仿宋_GB2312" w:cs="宋体"/>
                <w:kern w:val="0"/>
                <w:sz w:val="16"/>
                <w:szCs w:val="16"/>
              </w:rPr>
              <w:t>公车运行维护</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2</w:t>
            </w:r>
            <w:r>
              <w:rPr>
                <w:rFonts w:hint="eastAsia" w:ascii="仿宋_GB2312" w:hAnsi="宋体" w:eastAsia="仿宋_GB2312" w:cs="宋体"/>
                <w:kern w:val="0"/>
                <w:sz w:val="16"/>
                <w:szCs w:val="16"/>
              </w:rPr>
              <w:t>、出国经费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3</w:t>
            </w:r>
            <w:r>
              <w:rPr>
                <w:rFonts w:hint="eastAsia" w:ascii="仿宋_GB2312" w:hAnsi="宋体" w:eastAsia="仿宋_GB2312" w:cs="宋体"/>
                <w:kern w:val="0"/>
                <w:sz w:val="16"/>
                <w:szCs w:val="16"/>
              </w:rPr>
              <w:t>、公务接待</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27.94</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27.5</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27.5</w:t>
            </w:r>
          </w:p>
        </w:tc>
      </w:tr>
      <w:tr>
        <w:tblPrEx>
          <w:tblCellMar>
            <w:top w:w="0" w:type="dxa"/>
            <w:left w:w="0" w:type="dxa"/>
            <w:bottom w:w="0" w:type="dxa"/>
            <w:right w:w="0" w:type="dxa"/>
          </w:tblCellMar>
        </w:tblPrEx>
        <w:trPr>
          <w:trHeight w:val="26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16"/>
                <w:szCs w:val="16"/>
              </w:rPr>
              <w:t>项目支出：</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9959.27</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8500</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8576.41</w:t>
            </w: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1</w:t>
            </w:r>
            <w:r>
              <w:rPr>
                <w:rFonts w:hint="eastAsia" w:ascii="仿宋_GB2312" w:hAnsi="宋体" w:eastAsia="仿宋_GB2312" w:cs="宋体"/>
                <w:kern w:val="0"/>
                <w:sz w:val="16"/>
                <w:szCs w:val="16"/>
              </w:rPr>
              <w:t>、业务工作专项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9959.27</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8500</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8576.41</w:t>
            </w: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2</w:t>
            </w:r>
            <w:r>
              <w:rPr>
                <w:rFonts w:hint="eastAsia" w:ascii="仿宋_GB2312" w:hAnsi="宋体" w:eastAsia="仿宋_GB2312" w:cs="宋体"/>
                <w:kern w:val="0"/>
                <w:sz w:val="16"/>
                <w:szCs w:val="16"/>
              </w:rPr>
              <w:t>、运行维护专项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xml:space="preserve">          </w:t>
            </w:r>
            <w:r>
              <w:rPr>
                <w:rFonts w:hint="eastAsia" w:ascii="仿宋_GB2312" w:hAnsi="宋体" w:eastAsia="仿宋_GB2312" w:cs="宋体"/>
                <w:kern w:val="0"/>
                <w:sz w:val="16"/>
                <w:szCs w:val="16"/>
              </w:rPr>
              <w:t>……</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16"/>
                <w:szCs w:val="16"/>
              </w:rPr>
              <w:t>公用经费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197.6</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192</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152.43</w:t>
            </w:r>
          </w:p>
        </w:tc>
      </w:tr>
      <w:tr>
        <w:tblPrEx>
          <w:tblCellMar>
            <w:top w:w="0" w:type="dxa"/>
            <w:left w:w="0" w:type="dxa"/>
            <w:bottom w:w="0" w:type="dxa"/>
            <w:right w:w="0" w:type="dxa"/>
          </w:tblCellMar>
        </w:tblPrEx>
        <w:trPr>
          <w:trHeight w:val="26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xml:space="preserve">    </w:t>
            </w:r>
            <w:r>
              <w:rPr>
                <w:rFonts w:hint="eastAsia" w:ascii="仿宋_GB2312" w:hAnsi="宋体" w:eastAsia="仿宋_GB2312" w:cs="宋体"/>
                <w:kern w:val="0"/>
                <w:sz w:val="16"/>
                <w:szCs w:val="16"/>
              </w:rPr>
              <w:t>其中：办公经费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21.72</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21.75</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22.5</w:t>
            </w: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xml:space="preserve">          </w:t>
            </w:r>
            <w:r>
              <w:rPr>
                <w:rFonts w:hint="eastAsia" w:ascii="仿宋_GB2312" w:hAnsi="宋体" w:eastAsia="仿宋_GB2312" w:cs="宋体"/>
                <w:kern w:val="0"/>
                <w:sz w:val="16"/>
                <w:szCs w:val="16"/>
              </w:rPr>
              <w:t>水费、电费、差旅费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30.25</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30.3</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29.35</w:t>
            </w: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ascii="宋体" w:hAnsi="宋体" w:eastAsia="宋体" w:cs="宋体"/>
                <w:kern w:val="0"/>
                <w:sz w:val="16"/>
                <w:szCs w:val="16"/>
              </w:rPr>
              <w:t xml:space="preserve">          </w:t>
            </w:r>
            <w:r>
              <w:rPr>
                <w:rFonts w:hint="eastAsia" w:ascii="仿宋_GB2312" w:hAnsi="宋体" w:eastAsia="仿宋_GB2312" w:cs="宋体"/>
                <w:kern w:val="0"/>
                <w:sz w:val="16"/>
                <w:szCs w:val="16"/>
              </w:rPr>
              <w:t>会议费、培训费</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17.58</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17.6</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color w:val="000000"/>
                <w:kern w:val="0"/>
                <w:sz w:val="16"/>
                <w:szCs w:val="16"/>
                <w:shd w:val="clear" w:color="auto" w:fill="D9D9D9"/>
              </w:rPr>
              <w:t>19.3</w:t>
            </w: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16"/>
                <w:szCs w:val="16"/>
              </w:rPr>
              <w:t>政府采购金额</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93.7</w:t>
            </w: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500</w:t>
            </w: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ascii="宋体" w:hAnsi="宋体" w:eastAsia="宋体" w:cs="宋体"/>
                <w:kern w:val="0"/>
                <w:sz w:val="16"/>
                <w:szCs w:val="16"/>
              </w:rPr>
              <w:t>443.5</w:t>
            </w:r>
          </w:p>
        </w:tc>
      </w:tr>
      <w:tr>
        <w:tblPrEx>
          <w:tblCellMar>
            <w:top w:w="0" w:type="dxa"/>
            <w:left w:w="0" w:type="dxa"/>
            <w:bottom w:w="0" w:type="dxa"/>
            <w:right w:w="0" w:type="dxa"/>
          </w:tblCellMar>
        </w:tblPrEx>
        <w:trPr>
          <w:trHeight w:val="25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16"/>
                <w:szCs w:val="16"/>
              </w:rPr>
              <w:t>部门整体支出预算调整</w:t>
            </w:r>
            <w:r>
              <w:rPr>
                <w:rFonts w:ascii="宋体" w:hAnsi="宋体" w:eastAsia="宋体" w:cs="宋体"/>
                <w:kern w:val="0"/>
                <w:sz w:val="24"/>
                <w:szCs w:val="24"/>
              </w:rPr>
              <w:t xml:space="preserve"> </w:t>
            </w:r>
          </w:p>
        </w:tc>
        <w:tc>
          <w:tcPr>
            <w:tcW w:w="157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73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c>
          <w:tcPr>
            <w:tcW w:w="1220" w:type="dxa"/>
            <w:gridSpan w:val="2"/>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770" w:hRule="atLeast"/>
        </w:trPr>
        <w:tc>
          <w:tcPr>
            <w:tcW w:w="2370" w:type="dxa"/>
            <w:vMerge w:val="restart"/>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楼堂馆所控制情况</w:t>
            </w:r>
            <w:r>
              <w:rPr>
                <w:rFonts w:ascii="宋体" w:hAnsi="宋体" w:eastAsia="宋体" w:cs="宋体"/>
                <w:kern w:val="0"/>
                <w:sz w:val="16"/>
                <w:szCs w:val="16"/>
              </w:rPr>
              <w:br w:type="textWrapping"/>
            </w:r>
            <w:r>
              <w:rPr>
                <w:rFonts w:ascii="宋体" w:hAnsi="宋体" w:eastAsia="宋体" w:cs="宋体"/>
                <w:kern w:val="0"/>
                <w:sz w:val="16"/>
                <w:szCs w:val="16"/>
              </w:rPr>
              <w:t xml:space="preserve">  </w:t>
            </w:r>
            <w:r>
              <w:rPr>
                <w:rFonts w:hint="eastAsia" w:ascii="仿宋_GB2312" w:hAnsi="宋体" w:eastAsia="仿宋_GB2312" w:cs="宋体"/>
                <w:kern w:val="0"/>
                <w:sz w:val="16"/>
                <w:szCs w:val="16"/>
              </w:rPr>
              <w:t>（</w:t>
            </w:r>
            <w:r>
              <w:rPr>
                <w:rFonts w:ascii="宋体" w:hAnsi="宋体" w:eastAsia="宋体" w:cs="宋体"/>
                <w:kern w:val="0"/>
                <w:sz w:val="16"/>
                <w:szCs w:val="16"/>
              </w:rPr>
              <w:t>2018</w:t>
            </w:r>
            <w:r>
              <w:rPr>
                <w:rFonts w:hint="eastAsia" w:ascii="仿宋_GB2312" w:hAnsi="宋体" w:eastAsia="仿宋_GB2312" w:cs="宋体"/>
                <w:kern w:val="0"/>
                <w:sz w:val="16"/>
                <w:szCs w:val="16"/>
              </w:rPr>
              <w:t>年完工项目）</w:t>
            </w:r>
          </w:p>
        </w:tc>
        <w:tc>
          <w:tcPr>
            <w:tcW w:w="7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批复规模</w:t>
            </w:r>
            <w:r>
              <w:rPr>
                <w:rFonts w:ascii="宋体" w:hAnsi="宋体" w:eastAsia="宋体" w:cs="宋体"/>
                <w:kern w:val="0"/>
                <w:sz w:val="16"/>
                <w:szCs w:val="16"/>
              </w:rPr>
              <w:br w:type="textWrapping"/>
            </w:r>
            <w:r>
              <w:rPr>
                <w:rFonts w:ascii="宋体" w:hAnsi="宋体" w:eastAsia="宋体" w:cs="宋体"/>
                <w:kern w:val="0"/>
                <w:sz w:val="16"/>
                <w:szCs w:val="16"/>
              </w:rPr>
              <w:t xml:space="preserve">  </w:t>
            </w:r>
            <w:r>
              <w:rPr>
                <w:rFonts w:hint="eastAsia" w:ascii="仿宋_GB2312" w:hAnsi="宋体" w:eastAsia="仿宋_GB2312" w:cs="宋体"/>
                <w:kern w:val="0"/>
                <w:sz w:val="16"/>
                <w:szCs w:val="16"/>
              </w:rPr>
              <w:t>（㎡）</w:t>
            </w:r>
          </w:p>
        </w:tc>
        <w:tc>
          <w:tcPr>
            <w:tcW w:w="7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实际规模（㎡）</w:t>
            </w:r>
          </w:p>
        </w:tc>
        <w:tc>
          <w:tcPr>
            <w:tcW w:w="7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规模控制率</w:t>
            </w:r>
          </w:p>
        </w:tc>
        <w:tc>
          <w:tcPr>
            <w:tcW w:w="9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预算投资（万元）</w:t>
            </w:r>
          </w:p>
        </w:tc>
        <w:tc>
          <w:tcPr>
            <w:tcW w:w="6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实际投资（万元）</w:t>
            </w:r>
          </w:p>
        </w:tc>
        <w:tc>
          <w:tcPr>
            <w:tcW w:w="5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投资概算控制率</w:t>
            </w:r>
          </w:p>
        </w:tc>
      </w:tr>
      <w:tr>
        <w:tblPrEx>
          <w:tblCellMar>
            <w:top w:w="0" w:type="dxa"/>
            <w:left w:w="0" w:type="dxa"/>
            <w:bottom w:w="0" w:type="dxa"/>
            <w:right w:w="0" w:type="dxa"/>
          </w:tblCellMar>
        </w:tblPrEx>
        <w:trPr>
          <w:trHeight w:val="120" w:hRule="atLeast"/>
        </w:trPr>
        <w:tc>
          <w:tcPr>
            <w:tcW w:w="0" w:type="auto"/>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p>
        </w:tc>
        <w:tc>
          <w:tcPr>
            <w:tcW w:w="79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12"/>
                <w:szCs w:val="24"/>
              </w:rPr>
            </w:pPr>
          </w:p>
        </w:tc>
        <w:tc>
          <w:tcPr>
            <w:tcW w:w="7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12"/>
                <w:szCs w:val="24"/>
              </w:rPr>
            </w:pPr>
          </w:p>
        </w:tc>
        <w:tc>
          <w:tcPr>
            <w:tcW w:w="7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12"/>
                <w:szCs w:val="24"/>
              </w:rPr>
            </w:pPr>
          </w:p>
        </w:tc>
        <w:tc>
          <w:tcPr>
            <w:tcW w:w="9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12"/>
                <w:szCs w:val="24"/>
              </w:rPr>
            </w:pPr>
          </w:p>
        </w:tc>
        <w:tc>
          <w:tcPr>
            <w:tcW w:w="65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12"/>
                <w:szCs w:val="24"/>
              </w:rPr>
            </w:pPr>
          </w:p>
        </w:tc>
        <w:tc>
          <w:tcPr>
            <w:tcW w:w="580" w:type="dxa"/>
            <w:tcBorders>
              <w:top w:val="nil"/>
              <w:left w:val="nil"/>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12"/>
                <w:szCs w:val="24"/>
              </w:rPr>
            </w:pPr>
          </w:p>
        </w:tc>
      </w:tr>
      <w:tr>
        <w:tblPrEx>
          <w:tblCellMar>
            <w:top w:w="0" w:type="dxa"/>
            <w:left w:w="0" w:type="dxa"/>
            <w:bottom w:w="0" w:type="dxa"/>
            <w:right w:w="0" w:type="dxa"/>
          </w:tblCellMar>
        </w:tblPrEx>
        <w:trPr>
          <w:trHeight w:val="330" w:hRule="atLeast"/>
        </w:trPr>
        <w:tc>
          <w:tcPr>
            <w:tcW w:w="2370" w:type="dxa"/>
            <w:tcBorders>
              <w:top w:val="nil"/>
              <w:left w:val="single" w:color="auto" w:sz="4" w:space="0"/>
              <w:bottom w:val="single" w:color="auto" w:sz="4" w:space="0"/>
              <w:right w:val="single" w:color="auto" w:sz="4" w:space="0"/>
            </w:tcBorders>
            <w:shd w:val="clear" w:color="auto" w:fill="auto"/>
            <w:tcMar>
              <w:top w:w="0" w:type="dxa"/>
              <w:left w:w="70" w:type="dxa"/>
              <w:bottom w:w="0" w:type="dxa"/>
              <w:right w:w="70" w:type="dxa"/>
            </w:tcMar>
            <w:vAlign w:val="center"/>
          </w:tcPr>
          <w:p>
            <w:pPr>
              <w:widowControl/>
              <w:jc w:val="center"/>
              <w:rPr>
                <w:rFonts w:ascii="宋体" w:hAnsi="宋体" w:eastAsia="宋体" w:cs="宋体"/>
                <w:kern w:val="0"/>
                <w:sz w:val="24"/>
                <w:szCs w:val="24"/>
              </w:rPr>
            </w:pPr>
            <w:r>
              <w:rPr>
                <w:rFonts w:hint="eastAsia" w:ascii="仿宋_GB2312" w:hAnsi="宋体" w:eastAsia="仿宋_GB2312" w:cs="宋体"/>
                <w:kern w:val="0"/>
                <w:sz w:val="16"/>
                <w:szCs w:val="16"/>
              </w:rPr>
              <w:t>厉行节约保障措施</w:t>
            </w:r>
          </w:p>
        </w:tc>
        <w:tc>
          <w:tcPr>
            <w:tcW w:w="4530" w:type="dxa"/>
            <w:gridSpan w:val="6"/>
            <w:tcBorders>
              <w:top w:val="nil"/>
              <w:left w:val="nil"/>
              <w:bottom w:val="single" w:color="auto" w:sz="4" w:space="0"/>
              <w:right w:val="single" w:color="000000" w:sz="4" w:space="0"/>
            </w:tcBorders>
            <w:shd w:val="clear" w:color="auto" w:fill="auto"/>
            <w:tcMar>
              <w:top w:w="0" w:type="dxa"/>
              <w:left w:w="70" w:type="dxa"/>
              <w:bottom w:w="0" w:type="dxa"/>
              <w:right w:w="70" w:type="dxa"/>
            </w:tcMar>
            <w:vAlign w:val="center"/>
          </w:tcPr>
          <w:p>
            <w:pPr>
              <w:widowControl/>
              <w:jc w:val="left"/>
              <w:rPr>
                <w:rFonts w:ascii="宋体" w:hAnsi="宋体" w:eastAsia="宋体" w:cs="宋体"/>
                <w:kern w:val="0"/>
                <w:sz w:val="24"/>
                <w:szCs w:val="24"/>
              </w:rPr>
            </w:pPr>
            <w:r>
              <w:rPr>
                <w:rFonts w:hint="eastAsia" w:ascii="仿宋_GB2312" w:hAnsi="宋体" w:eastAsia="仿宋_GB2312" w:cs="宋体"/>
                <w:kern w:val="0"/>
                <w:sz w:val="16"/>
                <w:szCs w:val="16"/>
              </w:rPr>
              <w:t>取消了公务车辆，加强公务接待管理　</w:t>
            </w:r>
          </w:p>
        </w:tc>
      </w:tr>
    </w:tbl>
    <w:p>
      <w:pPr>
        <w:widowControl/>
        <w:spacing w:line="330" w:lineRule="atLeast"/>
        <w:jc w:val="left"/>
        <w:rPr>
          <w:rFonts w:ascii="Helvetica" w:hAnsi="Helvetica" w:eastAsia="宋体" w:cs="Helvetica"/>
          <w:color w:val="333333"/>
          <w:kern w:val="0"/>
          <w:sz w:val="16"/>
          <w:szCs w:val="16"/>
        </w:rPr>
      </w:pPr>
      <w:r>
        <w:rPr>
          <w:rFonts w:hint="eastAsia" w:ascii="宋体" w:hAnsi="宋体" w:eastAsia="宋体" w:cs="宋体"/>
          <w:color w:val="333333"/>
          <w:kern w:val="0"/>
          <w:sz w:val="16"/>
          <w:szCs w:val="16"/>
        </w:rPr>
        <w:t> </w:t>
      </w:r>
    </w:p>
    <w:p>
      <w:pPr>
        <w:widowControl/>
        <w:spacing w:line="320" w:lineRule="atLeast"/>
        <w:jc w:val="left"/>
        <w:rPr>
          <w:rFonts w:ascii="Helvetica" w:hAnsi="Helvetica" w:eastAsia="宋体" w:cs="Helvetica"/>
          <w:color w:val="333333"/>
          <w:kern w:val="0"/>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1ABD"/>
    <w:rsid w:val="000E7B4A"/>
    <w:rsid w:val="003015AD"/>
    <w:rsid w:val="00360F38"/>
    <w:rsid w:val="00411ABD"/>
    <w:rsid w:val="00545F26"/>
    <w:rsid w:val="0088613A"/>
    <w:rsid w:val="0093144E"/>
    <w:rsid w:val="0095403A"/>
    <w:rsid w:val="00B60862"/>
    <w:rsid w:val="00BD7A18"/>
    <w:rsid w:val="00CD20F3"/>
    <w:rsid w:val="00CF2CB5"/>
    <w:rsid w:val="00DB13A8"/>
    <w:rsid w:val="00EC1DE9"/>
    <w:rsid w:val="00EE37D1"/>
    <w:rsid w:val="00F37384"/>
    <w:rsid w:val="00F61657"/>
    <w:rsid w:val="1DCE5F80"/>
    <w:rsid w:val="66B96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1"/>
    <w:semiHidden/>
    <w:unhideWhenUsed/>
    <w:uiPriority w:val="99"/>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uiPriority w:val="99"/>
    <w:rPr>
      <w:color w:val="800080"/>
      <w:u w:val="single"/>
    </w:rPr>
  </w:style>
  <w:style w:type="character" w:styleId="9">
    <w:name w:val="Hyperlink"/>
    <w:basedOn w:val="7"/>
    <w:semiHidden/>
    <w:unhideWhenUsed/>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paragraph" w:customStyle="1" w:styleId="12">
    <w:name w:val="form-control-static"/>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947</Words>
  <Characters>5404</Characters>
  <Lines>45</Lines>
  <Paragraphs>12</Paragraphs>
  <TotalTime>26</TotalTime>
  <ScaleCrop>false</ScaleCrop>
  <LinksUpToDate>false</LinksUpToDate>
  <CharactersWithSpaces>6339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2021-06-02T00:48:00Z</dcterms:created>
  <dc:creator>a</dc:creator>
  <cp:lastModifiedBy>肖岚丹</cp:lastModifiedBy>
  <dcterms:modified xsi:type="dcterms:W3CDTF">2021-08-25T01:03:52Z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