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400" w:lineRule="exac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附件9</w:t>
      </w:r>
    </w:p>
    <w:p>
      <w:pPr>
        <w:spacing w:line="560" w:lineRule="exact"/>
        <w:jc w:val="center"/>
        <w:rPr>
          <w:rFonts w:ascii="Times New Roman" w:eastAsia="方正小标宋_GBK" w:cs="Times New Roman" w:hAnsi="Times New Roman" w:hint="eastAsia"/>
          <w:kern w:val="0"/>
          <w:sz w:val="44"/>
          <w:szCs w:val="44"/>
        </w:rPr>
      </w:pPr>
    </w:p>
    <w:p>
      <w:pPr>
        <w:spacing w:line="560" w:lineRule="exact"/>
        <w:jc w:val="cente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20</w:t>
      </w:r>
      <w:r>
        <w:rPr>
          <w:rFonts w:ascii="Times New Roman" w:eastAsia="方正小标宋_GBK" w:cs="Times New Roman" w:hAnsi="Times New Roman" w:hint="eastAsia"/>
          <w:kern w:val="0"/>
          <w:sz w:val="44"/>
          <w:szCs w:val="44"/>
        </w:rPr>
        <w:t>20</w:t>
      </w:r>
      <w:r>
        <w:rPr>
          <w:rFonts w:ascii="Times New Roman" w:eastAsia="方正小标宋_GBK" w:cs="Times New Roman" w:hAnsi="Times New Roman"/>
          <w:kern w:val="0"/>
          <w:sz w:val="44"/>
          <w:szCs w:val="44"/>
        </w:rPr>
        <w:t>年度桃源县应急管理局整体支出绩效</w:t>
      </w:r>
      <w:r>
        <w:rPr>
          <w:rFonts w:ascii="Times New Roman" w:eastAsia="方正小标宋_GBK" w:cs="Times New Roman" w:hAnsi="Times New Roman" w:hint="eastAsia"/>
          <w:kern w:val="0"/>
          <w:sz w:val="44"/>
          <w:szCs w:val="44"/>
        </w:rPr>
        <w:t>自评</w:t>
      </w:r>
      <w:r>
        <w:rPr>
          <w:rFonts w:ascii="Times New Roman" w:eastAsia="方正小标宋_GBK" w:cs="Times New Roman" w:hAnsi="Times New Roman"/>
          <w:kern w:val="0"/>
          <w:sz w:val="44"/>
          <w:szCs w:val="44"/>
        </w:rPr>
        <w:t>报 告</w:t>
      </w:r>
    </w:p>
    <w:p>
      <w:pPr>
        <w:spacing w:line="560" w:lineRule="exact"/>
        <w:jc w:val="center"/>
        <w:rPr>
          <w:rFonts w:ascii="Times New Roman" w:eastAsia="方正小标宋_GBK" w:cs="Times New Roman" w:hAnsi="Times New Roman"/>
          <w:kern w:val="0"/>
          <w:sz w:val="44"/>
          <w:szCs w:val="44"/>
        </w:rPr>
      </w:pPr>
    </w:p>
    <w:p>
      <w:pPr>
        <w:keepNext w:val="0"/>
        <w:keepLines w:val="0"/>
        <w:pageBreakBefore w:val="0"/>
        <w:widowControl/>
        <w:kinsoku/>
        <w:wordWrap/>
        <w:overflowPunct/>
        <w:topLinePunct w:val="0"/>
        <w:autoSpaceDE/>
        <w:autoSpaceDN/>
        <w:adjustRightInd/>
        <w:spacing w:line="540" w:lineRule="exact"/>
        <w:ind w:firstLineChars="200" w:firstLine="640"/>
        <w:rPr>
          <w:rFonts w:ascii="仿宋_GB2312" w:eastAsia="仿宋_GB2312"/>
          <w:sz w:val="32"/>
          <w:szCs w:val="32"/>
        </w:rPr>
      </w:pPr>
      <w:r>
        <w:rPr>
          <w:rFonts w:ascii="仿宋_GB2312" w:eastAsia="仿宋_GB2312" w:hint="eastAsia"/>
          <w:sz w:val="32"/>
          <w:szCs w:val="32"/>
        </w:rPr>
        <w:t>为强化财政支出资金管理，提高财政资金使用效益，根据《桃源县财政局关于明确2020年度县本级财政资金预算绩效管理目标任务的通知》</w:t>
      </w:r>
      <w:r>
        <w:rPr>
          <w:rFonts w:ascii="仿宋_GB2312" w:eastAsia="仿宋_GB2312" w:cs="仿宋_GB2312" w:hint="eastAsia"/>
          <w:sz w:val="32"/>
          <w:szCs w:val="32"/>
          <w:lang w:bidi="ar-SA"/>
        </w:rPr>
        <w:t>（桃财</w:t>
      </w:r>
      <w:r>
        <w:rPr>
          <w:rFonts w:ascii="仿宋_GB2312" w:eastAsia="仿宋_GB2312" w:cs="仿宋_GB2312" w:hint="eastAsia"/>
          <w:sz w:val="32"/>
          <w:szCs w:val="32"/>
          <w:lang w:eastAsia="zh-CN" w:bidi="ar-SA"/>
        </w:rPr>
        <w:t>发</w:t>
      </w:r>
      <w:r>
        <w:rPr>
          <w:rFonts w:ascii="仿宋_GB2312" w:eastAsia="仿宋_GB2312" w:cs="仿宋_GB2312" w:hint="eastAsia"/>
          <w:sz w:val="32"/>
          <w:szCs w:val="32"/>
          <w:lang w:bidi="ar-SA"/>
        </w:rPr>
        <w:t>〔20</w:t>
      </w:r>
      <w:r>
        <w:rPr>
          <w:rFonts w:ascii="仿宋_GB2312" w:eastAsia="仿宋_GB2312" w:cs="仿宋_GB2312" w:hint="eastAsia"/>
          <w:sz w:val="32"/>
          <w:szCs w:val="32"/>
          <w:lang w:val="en-US" w:eastAsia="zh-CN" w:bidi="ar-SA"/>
        </w:rPr>
        <w:t>20</w:t>
      </w:r>
      <w:r>
        <w:rPr>
          <w:rFonts w:ascii="仿宋_GB2312" w:eastAsia="仿宋_GB2312" w:cs="仿宋_GB2312" w:hint="eastAsia"/>
          <w:sz w:val="32"/>
          <w:szCs w:val="32"/>
          <w:lang w:bidi="ar-SA"/>
        </w:rPr>
        <w:t>〕</w:t>
      </w:r>
      <w:r>
        <w:rPr>
          <w:rFonts w:ascii="仿宋_GB2312" w:eastAsia="仿宋_GB2312" w:cs="仿宋_GB2312" w:hint="eastAsia"/>
          <w:sz w:val="32"/>
          <w:szCs w:val="32"/>
          <w:lang w:val="en-US" w:eastAsia="zh-CN" w:bidi="ar-SA"/>
        </w:rPr>
        <w:t>8</w:t>
      </w:r>
      <w:r>
        <w:rPr>
          <w:rFonts w:ascii="仿宋_GB2312" w:eastAsia="仿宋_GB2312" w:cs="仿宋_GB2312" w:hint="eastAsia"/>
          <w:sz w:val="32"/>
          <w:szCs w:val="32"/>
          <w:lang w:bidi="ar-SA"/>
        </w:rPr>
        <w:t>号）</w:t>
      </w:r>
      <w:r>
        <w:rPr>
          <w:rFonts w:ascii="仿宋_GB2312" w:eastAsia="仿宋_GB2312" w:hint="eastAsia"/>
          <w:sz w:val="32"/>
          <w:szCs w:val="32"/>
        </w:rPr>
        <w:t>预算绩效工作安排，我们对</w:t>
      </w:r>
      <w:r>
        <w:rPr>
          <w:rFonts w:eastAsia="仿宋_GB2312"/>
          <w:sz w:val="32"/>
          <w:szCs w:val="32"/>
        </w:rPr>
        <w:t>2020</w:t>
      </w:r>
      <w:r>
        <w:rPr>
          <w:rFonts w:ascii="仿宋_GB2312" w:eastAsia="仿宋_GB2312" w:hint="eastAsia"/>
          <w:sz w:val="32"/>
          <w:szCs w:val="32"/>
        </w:rPr>
        <w:t>年度桃源县</w:t>
      </w:r>
      <w:r>
        <w:rPr>
          <w:rFonts w:ascii="仿宋_GB2312" w:eastAsia="仿宋_GB2312"/>
          <w:sz w:val="32"/>
          <w:szCs w:val="32"/>
          <w:lang w:eastAsia="zh-CN"/>
        </w:rPr>
        <w:t>应急管理局</w:t>
      </w:r>
      <w:r>
        <w:rPr>
          <w:rFonts w:ascii="仿宋_GB2312" w:eastAsia="仿宋_GB2312" w:hint="eastAsia"/>
          <w:sz w:val="32"/>
          <w:szCs w:val="32"/>
        </w:rPr>
        <w:t>部门整体支出进行了绩效自评，形成本报告。</w:t>
      </w:r>
    </w:p>
    <w:p>
      <w:pPr>
        <w:keepNext w:val="0"/>
        <w:keepLines w:val="0"/>
        <w:pageBreakBefore w:val="0"/>
        <w:widowControl/>
        <w:kinsoku/>
        <w:wordWrap/>
        <w:overflowPunct/>
        <w:topLinePunct w:val="0"/>
        <w:autoSpaceDE/>
        <w:autoSpaceDN/>
        <w:adjustRightInd/>
        <w:spacing w:line="540" w:lineRule="exact"/>
        <w:ind w:firstLineChars="200" w:firstLine="640"/>
        <w:rPr>
          <w:rFonts w:ascii="Times New Roman" w:eastAsia="仿宋_GB2312" w:cs="Times New Roman" w:hAnsi="Times New Roman"/>
          <w:color w:val="222222"/>
          <w:kern w:val="0"/>
          <w:sz w:val="32"/>
          <w:szCs w:val="32"/>
        </w:rPr>
      </w:pPr>
      <w:r>
        <w:rPr>
          <w:rFonts w:ascii="仿宋_GB2312" w:eastAsia="仿宋_GB2312"/>
          <w:sz w:val="32"/>
          <w:szCs w:val="32"/>
        </w:rPr>
        <w:t>一</w:t>
      </w:r>
      <w:r>
        <w:rPr>
          <w:rFonts w:ascii="Times New Roman" w:eastAsia="仿宋_GB2312" w:cs="Times New Roman" w:hAnsi="Times New Roman"/>
          <w:kern w:val="0"/>
          <w:sz w:val="32"/>
          <w:szCs w:val="32"/>
        </w:rPr>
        <w:t>、</w:t>
      </w:r>
      <w:r>
        <w:rPr>
          <w:rFonts w:ascii="黑体" w:eastAsia="黑体" w:cs="Times New Roman"/>
          <w:kern w:val="0"/>
          <w:sz w:val="32"/>
          <w:szCs w:val="32"/>
        </w:rPr>
        <w:t>部门概况</w:t>
      </w:r>
    </w:p>
    <w:p>
      <w:pPr>
        <w:pStyle w:val="18"/>
        <w:numPr>
          <w:ilvl w:val="0"/>
          <w:numId w:val="1"/>
        </w:numPr>
        <w:spacing w:after="134" w:afterAutospacing="0" w:line="408" w:lineRule="atLeas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机构、人员构成</w:t>
      </w:r>
    </w:p>
    <w:p>
      <w:pPr>
        <w:pStyle w:val="18"/>
        <w:spacing w:after="134" w:afterAutospacing="0" w:line="408" w:lineRule="atLeast"/>
        <w:ind w:firstLineChars="150" w:firstLine="480"/>
        <w:rPr>
          <w:rFonts w:ascii="仿宋" w:eastAsia="仿宋"/>
          <w:sz w:val="32"/>
          <w:szCs w:val="32"/>
        </w:rPr>
      </w:pPr>
      <w:r>
        <w:rPr>
          <w:rFonts w:ascii="仿宋" w:eastAsia="仿宋" w:hint="eastAsia"/>
          <w:sz w:val="32"/>
          <w:szCs w:val="32"/>
        </w:rPr>
        <w:t>桃源县应急管理局是县人民政府新成立部门，根据县编委办核定，内设股室10个，</w:t>
      </w:r>
      <w:r>
        <w:rPr>
          <w:rFonts w:ascii="仿宋" w:eastAsia="仿宋"/>
          <w:sz w:val="32"/>
          <w:szCs w:val="32"/>
        </w:rPr>
        <w:t>所属单位2个，</w:t>
      </w:r>
      <w:r>
        <w:rPr>
          <w:rFonts w:ascii="仿宋" w:eastAsia="仿宋" w:hint="eastAsia"/>
          <w:sz w:val="32"/>
          <w:szCs w:val="32"/>
        </w:rPr>
        <w:t>分别是县安全生产监察大队和应急救援指挥中心，人员分别为16名和9名</w:t>
      </w:r>
      <w:r>
        <w:rPr>
          <w:rFonts w:ascii="仿宋" w:eastAsia="仿宋"/>
          <w:sz w:val="32"/>
          <w:szCs w:val="32"/>
        </w:rPr>
        <w:t>，</w:t>
      </w:r>
      <w:r>
        <w:rPr>
          <w:rFonts w:ascii="Times New Roman" w:eastAsia="仿宋" w:cs="Times New Roman" w:hAnsi="Times New Roman"/>
          <w:sz w:val="32"/>
          <w:szCs w:val="32"/>
        </w:rPr>
        <w:t>共核定全额编制3</w:t>
      </w:r>
      <w:r>
        <w:rPr>
          <w:rFonts w:ascii="Times New Roman" w:eastAsia="仿宋" w:cs="Times New Roman" w:hAnsi="Times New Roman" w:hint="eastAsia"/>
          <w:sz w:val="32"/>
          <w:szCs w:val="32"/>
        </w:rPr>
        <w:t>9</w:t>
      </w:r>
      <w:r>
        <w:rPr>
          <w:rFonts w:ascii="Times New Roman" w:eastAsia="仿宋" w:cs="Times New Roman" w:hAnsi="Times New Roman"/>
          <w:sz w:val="32"/>
          <w:szCs w:val="32"/>
        </w:rPr>
        <w:t>名,</w:t>
      </w:r>
      <w:r>
        <w:rPr>
          <w:rFonts w:ascii="仿宋" w:eastAsia="仿宋" w:hint="eastAsia"/>
          <w:sz w:val="32"/>
          <w:szCs w:val="32"/>
        </w:rPr>
        <w:t>全局实有编制人数35名</w:t>
      </w:r>
      <w:r>
        <w:rPr>
          <w:rFonts w:ascii="仿宋" w:eastAsia="仿宋"/>
          <w:sz w:val="32"/>
          <w:szCs w:val="32"/>
        </w:rPr>
        <w:t>，</w:t>
      </w:r>
      <w:r>
        <w:rPr>
          <w:rFonts w:ascii="仿宋" w:eastAsia="仿宋" w:hint="eastAsia"/>
          <w:sz w:val="32"/>
          <w:szCs w:val="32"/>
        </w:rPr>
        <w:t>全部纳入20</w:t>
      </w:r>
      <w:r>
        <w:rPr>
          <w:rFonts w:ascii="仿宋" w:eastAsia="仿宋"/>
          <w:sz w:val="32"/>
          <w:szCs w:val="32"/>
        </w:rPr>
        <w:t>20</w:t>
      </w:r>
      <w:r>
        <w:rPr>
          <w:rFonts w:ascii="仿宋" w:eastAsia="仿宋" w:hint="eastAsia"/>
          <w:sz w:val="32"/>
          <w:szCs w:val="32"/>
        </w:rPr>
        <w:t>年部门预算编制</w:t>
      </w:r>
      <w:r>
        <w:rPr>
          <w:rFonts w:ascii="仿宋" w:eastAsia="仿宋"/>
          <w:sz w:val="32"/>
          <w:szCs w:val="32"/>
        </w:rPr>
        <w:t>范围</w:t>
      </w:r>
      <w:r>
        <w:rPr>
          <w:rFonts w:ascii="仿宋" w:eastAsia="仿宋" w:hint="eastAsia"/>
          <w:sz w:val="32"/>
          <w:szCs w:val="32"/>
        </w:rPr>
        <w:t>。</w:t>
      </w:r>
    </w:p>
    <w:p>
      <w:pPr>
        <w:pStyle w:val="18"/>
        <w:spacing w:after="134" w:afterAutospacing="0" w:line="408" w:lineRule="atLeast"/>
        <w:ind w:firstLineChars="200" w:firstLine="640"/>
        <w:rPr>
          <w:rFonts w:ascii="Times New Roman" w:eastAsia="仿宋_GB2312" w:cs="Times New Roman" w:hAnsi="Times New Roman"/>
          <w:kern w:val="0"/>
          <w:sz w:val="32"/>
          <w:szCs w:val="32"/>
        </w:rPr>
      </w:pPr>
      <w:r>
        <w:rPr>
          <w:rFonts w:ascii="仿宋" w:eastAsia="仿宋"/>
          <w:sz w:val="32"/>
          <w:szCs w:val="32"/>
        </w:rPr>
        <w:t>局机关</w:t>
      </w:r>
      <w:r>
        <w:rPr>
          <w:rFonts w:ascii="仿宋" w:eastAsia="仿宋" w:hint="eastAsia"/>
          <w:sz w:val="32"/>
          <w:szCs w:val="32"/>
        </w:rPr>
        <w:t>分别内设办公室、法制股、综合协调股、火灾防治管理股、救灾物资保障股、防汛抗旱股、救援协调和预算管理股、危险化学品和烟花爆竹安全监督管理股、非煤矿山和工贸行业安全监督管理股、地震地质灾害防治股10个股室</w:t>
      </w:r>
      <w:r>
        <w:rPr>
          <w:rFonts w:ascii="仿宋" w:eastAsia="仿宋"/>
          <w:sz w:val="32"/>
          <w:szCs w:val="32"/>
        </w:rPr>
        <w:t>。</w:t>
      </w:r>
    </w:p>
    <w:p>
      <w:pPr>
        <w:pStyle w:val="18"/>
        <w:spacing w:after="134" w:afterAutospacing="0" w:line="408" w:lineRule="atLeas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（二）单位主要职责</w:t>
      </w:r>
    </w:p>
    <w:p>
      <w:pPr>
        <w:widowControl/>
        <w:spacing w:line="640" w:lineRule="exact"/>
        <w:ind w:left="15" w:firstLineChars="200" w:firstLine="640"/>
        <w:rPr>
          <w:rFonts w:ascii="Times New Roman" w:eastAsia="仿宋_GB2312" w:cs="Times New Roman" w:hAnsi="Times New Roman"/>
          <w:kern w:val="0"/>
          <w:sz w:val="32"/>
          <w:szCs w:val="32"/>
        </w:rPr>
      </w:pPr>
      <w:r>
        <w:rPr>
          <w:rFonts w:ascii="Times New Roman" w:eastAsia="仿宋" w:cs="Times New Roman" w:hAnsi="Times New Roman"/>
          <w:sz w:val="32"/>
          <w:szCs w:val="32"/>
        </w:rPr>
        <w:t>我局</w:t>
      </w:r>
      <w:r>
        <w:rPr>
          <w:rFonts w:ascii="Times New Roman" w:eastAsia="仿宋" w:cs="Times New Roman" w:hAnsi="Times New Roman" w:hint="eastAsia"/>
          <w:sz w:val="32"/>
          <w:szCs w:val="32"/>
        </w:rPr>
        <w:t>主要职能职责为：</w:t>
      </w:r>
      <w:r>
        <w:rPr>
          <w:rFonts w:ascii="Times New Roman" w:eastAsia="仿宋" w:cs="Times New Roman" w:hAnsi="Times New Roman"/>
          <w:sz w:val="32"/>
          <w:szCs w:val="32"/>
        </w:rPr>
        <w:t>(1)负责应急管理、安全生产法律法规的宣传教育培训工作，组织指导应急管理安全生产的科学技术研究、推广应用和信息化建设工作，（2）协调指导</w:t>
      </w:r>
      <w:r>
        <w:rPr>
          <w:rFonts w:ascii="Times New Roman" w:eastAsia="仿宋" w:cs="Times New Roman" w:hAnsi="Times New Roman" w:hint="eastAsia"/>
          <w:sz w:val="32"/>
          <w:szCs w:val="32"/>
        </w:rPr>
        <w:t>各</w:t>
      </w:r>
      <w:r>
        <w:rPr>
          <w:rFonts w:ascii="Times New Roman" w:eastAsia="仿宋" w:cs="Times New Roman" w:hAnsi="Times New Roman"/>
          <w:sz w:val="32"/>
          <w:szCs w:val="32"/>
        </w:rPr>
        <w:t>有关部门、乡镇街道安全生产监管工作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指导城镇、农村消防监督、火灾预防、火灾扑救工作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(3)负责灾情核查、损失评估、救灾捐赠等</w:t>
      </w:r>
      <w:r>
        <w:rPr>
          <w:rFonts w:ascii="Times New Roman" w:eastAsia="仿宋" w:cs="Times New Roman" w:hAnsi="Times New Roman" w:hint="eastAsia"/>
          <w:sz w:val="32"/>
          <w:szCs w:val="32"/>
        </w:rPr>
        <w:t>自然灾害</w:t>
      </w:r>
      <w:r>
        <w:rPr>
          <w:rFonts w:ascii="Times New Roman" w:eastAsia="仿宋" w:cs="Times New Roman" w:hAnsi="Times New Roman"/>
          <w:sz w:val="32"/>
          <w:szCs w:val="32"/>
        </w:rPr>
        <w:t>救灾工作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(4)负责组织协调全县水旱灾害应急救援工作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负责全县应急救援体系建设</w:t>
      </w:r>
      <w:r>
        <w:rPr>
          <w:rFonts w:ascii="Times New Roman" w:eastAsia="仿宋" w:cs="Times New Roman" w:hAnsi="Times New Roman" w:hint="eastAsia"/>
          <w:sz w:val="32"/>
          <w:szCs w:val="32"/>
        </w:rPr>
        <w:t>；</w:t>
      </w:r>
      <w:r>
        <w:rPr>
          <w:rFonts w:ascii="Times New Roman" w:eastAsia="仿宋" w:cs="Times New Roman" w:hAnsi="Times New Roman"/>
          <w:sz w:val="32"/>
          <w:szCs w:val="32"/>
        </w:rPr>
        <w:t>（5）负责危险化学品和烟花爆竹、非煤矿山安全监督管理工作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（6）</w:t>
      </w:r>
      <w:r>
        <w:rPr>
          <w:rFonts w:ascii="Times New Roman" w:eastAsia="仿宋" w:cs="Times New Roman" w:hAnsi="Times New Roman" w:hint="eastAsia"/>
          <w:sz w:val="32"/>
          <w:szCs w:val="32"/>
        </w:rPr>
        <w:t>依法开展工贸行业安全监督管理工作；</w:t>
      </w:r>
      <w:r>
        <w:rPr>
          <w:rFonts w:ascii="Times New Roman" w:eastAsia="仿宋" w:cs="Times New Roman" w:hAnsi="Times New Roman"/>
          <w:sz w:val="32"/>
          <w:szCs w:val="32"/>
        </w:rPr>
        <w:t>（7）组织协调本县地震</w:t>
      </w:r>
      <w:r>
        <w:rPr>
          <w:rFonts w:ascii="Times New Roman" w:eastAsia="仿宋" w:cs="Times New Roman" w:hAnsi="Times New Roman" w:hint="eastAsia"/>
          <w:sz w:val="32"/>
          <w:szCs w:val="32"/>
        </w:rPr>
        <w:t>地质灾害</w:t>
      </w:r>
      <w:r>
        <w:rPr>
          <w:rFonts w:ascii="Times New Roman" w:eastAsia="仿宋" w:cs="Times New Roman" w:hAnsi="Times New Roman"/>
          <w:sz w:val="32"/>
          <w:szCs w:val="32"/>
        </w:rPr>
        <w:t>应急救援工作</w:t>
      </w:r>
      <w:r>
        <w:rPr>
          <w:rFonts w:ascii="Times New Roman" w:eastAsia="仿宋" w:cs="Times New Roman" w:hAnsi="Times New Roman" w:hint="eastAsia"/>
          <w:sz w:val="32"/>
          <w:szCs w:val="32"/>
        </w:rPr>
        <w:t>；</w:t>
      </w:r>
      <w:r>
        <w:rPr>
          <w:rFonts w:ascii="Times New Roman" w:eastAsia="仿宋" w:cs="Times New Roman" w:hAnsi="Times New Roman"/>
          <w:sz w:val="32"/>
          <w:szCs w:val="32"/>
        </w:rPr>
        <w:t>(8)</w:t>
      </w:r>
      <w:r>
        <w:rPr>
          <w:rFonts w:ascii="Times New Roman" w:eastAsia="仿宋" w:cs="Times New Roman" w:hAnsi="Times New Roman" w:hint="eastAsia"/>
          <w:sz w:val="32"/>
          <w:szCs w:val="32"/>
        </w:rPr>
        <w:t>承担县安委办的工作职责；</w:t>
      </w:r>
      <w:r>
        <w:rPr>
          <w:rFonts w:ascii="Times New Roman" w:eastAsia="仿宋" w:cs="Times New Roman" w:hAnsi="Times New Roman"/>
          <w:sz w:val="32"/>
          <w:szCs w:val="32"/>
        </w:rPr>
        <w:t>(9)负责完成县委县政府办的其他中心工作。</w:t>
      </w:r>
    </w:p>
    <w:p>
      <w:pPr>
        <w:widowControl/>
        <w:spacing w:line="640" w:lineRule="exact"/>
        <w:ind w:firstLineChars="200" w:firstLine="640"/>
        <w:rPr>
          <w:rFonts w:ascii="Times New Roman" w:eastAsia="仿宋_GB2312" w:cs="Times New Roman" w:hAnsi="Times New Roman"/>
          <w:kern w:val="0"/>
          <w:sz w:val="32"/>
          <w:szCs w:val="32"/>
        </w:rPr>
      </w:pPr>
    </w:p>
    <w:p>
      <w:pPr>
        <w:widowControl/>
        <w:spacing w:line="640" w:lineRule="exact"/>
        <w:ind w:firstLineChars="200" w:firstLine="640"/>
        <w:rPr>
          <w:rFonts w:ascii="黑体" w:eastAsia="黑体" w:cs="Times New Roman"/>
          <w:kern w:val="0"/>
          <w:sz w:val="32"/>
          <w:szCs w:val="32"/>
        </w:rPr>
      </w:pPr>
      <w:r>
        <w:rPr>
          <w:rFonts w:ascii="黑体" w:eastAsia="黑体" w:cs="Times New Roman"/>
          <w:kern w:val="0"/>
          <w:sz w:val="32"/>
          <w:szCs w:val="32"/>
        </w:rPr>
        <w:t>二、部门财务情况</w:t>
      </w:r>
    </w:p>
    <w:p>
      <w:pPr>
        <w:widowControl/>
        <w:spacing w:line="64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（一）部门整体支出情况</w:t>
      </w:r>
    </w:p>
    <w:p>
      <w:pPr>
        <w:keepNext w:val="0"/>
        <w:keepLines w:val="0"/>
        <w:pageBreakBefore w:val="0"/>
        <w:widowControl w:val="0"/>
        <w:kinsoku/>
        <w:wordWrap/>
        <w:overflowPunct/>
        <w:topLinePunct w:val="0"/>
        <w:autoSpaceDE/>
        <w:autoSpaceDN/>
        <w:bidi w:val="0"/>
        <w:adjustRightInd/>
        <w:spacing w:line="540" w:lineRule="exact"/>
        <w:ind w:left="0" w:right="0" w:firstLineChars="148" w:firstLine="474"/>
        <w:jc w:val="both"/>
        <w:textAlignment w:val="auto"/>
        <w:rPr>
          <w:rFonts w:ascii="仿宋_GB2312" w:eastAsia="仿宋_GB2312" w:hint="eastAsia"/>
          <w:sz w:val="32"/>
          <w:szCs w:val="32"/>
        </w:rPr>
      </w:pPr>
      <w:r>
        <w:rPr>
          <w:rFonts w:eastAsia="仿宋_GB2312"/>
          <w:sz w:val="32"/>
          <w:szCs w:val="32"/>
        </w:rPr>
        <w:t>2020</w:t>
      </w:r>
      <w:r>
        <w:rPr>
          <w:rFonts w:ascii="仿宋_GB2312" w:eastAsia="仿宋_GB2312" w:hint="eastAsia"/>
          <w:sz w:val="32"/>
          <w:szCs w:val="32"/>
        </w:rPr>
        <w:t>年度公共预算财政拨款支出</w:t>
      </w:r>
      <w:r>
        <w:rPr>
          <w:rFonts w:eastAsia="仿宋_GB2312"/>
          <w:sz w:val="32"/>
          <w:szCs w:val="32"/>
          <w:lang w:val="en-US" w:eastAsia="zh-CN"/>
        </w:rPr>
        <w:t>3036.03</w:t>
      </w:r>
      <w:r>
        <w:rPr>
          <w:rFonts w:ascii="仿宋_GB2312" w:eastAsia="仿宋_GB2312" w:hint="eastAsia"/>
          <w:sz w:val="32"/>
          <w:szCs w:val="32"/>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Chars="196" w:firstLine="627"/>
        <w:jc w:val="both"/>
        <w:textAlignment w:val="auto"/>
        <w:outlineLvl w:val="0"/>
        <w:rPr>
          <w:rFonts w:eastAsia="仿宋_GB2312" w:hint="eastAsia"/>
          <w:sz w:val="32"/>
          <w:szCs w:val="32"/>
        </w:rPr>
      </w:pPr>
      <w:r>
        <w:rPr>
          <w:rFonts w:eastAsia="仿宋_GB2312" w:hint="eastAsia"/>
          <w:sz w:val="32"/>
          <w:szCs w:val="32"/>
        </w:rPr>
        <w:t>1．公共预算财政拨款基本支出</w:t>
      </w:r>
      <w:r>
        <w:rPr>
          <w:rFonts w:eastAsia="仿宋_GB2312"/>
          <w:sz w:val="32"/>
          <w:szCs w:val="32"/>
          <w:lang w:val="en-US" w:eastAsia="zh-CN"/>
        </w:rPr>
        <w:t>651.41</w:t>
      </w:r>
      <w:r>
        <w:rPr>
          <w:rFonts w:eastAsia="仿宋_GB2312" w:hint="eastAsia"/>
          <w:sz w:val="32"/>
          <w:szCs w:val="32"/>
        </w:rPr>
        <w:t>万元，其中：人员经费支出</w:t>
      </w:r>
      <w:r>
        <w:rPr>
          <w:rFonts w:eastAsia="仿宋_GB2312"/>
          <w:sz w:val="32"/>
          <w:szCs w:val="32"/>
          <w:lang w:val="en-US" w:eastAsia="zh-CN"/>
        </w:rPr>
        <w:t>423.44</w:t>
      </w:r>
      <w:r>
        <w:rPr>
          <w:rFonts w:eastAsia="仿宋_GB2312" w:hint="eastAsia"/>
          <w:sz w:val="32"/>
          <w:szCs w:val="32"/>
        </w:rPr>
        <w:t>万元</w:t>
      </w:r>
      <w:r>
        <w:rPr>
          <w:rFonts w:eastAsia="仿宋_GB2312"/>
          <w:sz w:val="32"/>
          <w:szCs w:val="32"/>
        </w:rPr>
        <w:t>；</w:t>
      </w:r>
      <w:r>
        <w:rPr>
          <w:rFonts w:eastAsia="仿宋_GB2312" w:hint="eastAsia"/>
          <w:sz w:val="32"/>
          <w:szCs w:val="32"/>
        </w:rPr>
        <w:t>日常公用经费支出</w:t>
      </w:r>
      <w:r>
        <w:rPr>
          <w:rFonts w:eastAsia="仿宋_GB2312"/>
          <w:sz w:val="32"/>
          <w:szCs w:val="32"/>
          <w:lang w:val="en-US" w:eastAsia="zh-CN"/>
        </w:rPr>
        <w:t>152.74</w:t>
      </w:r>
      <w:r>
        <w:rPr>
          <w:rFonts w:eastAsia="仿宋_GB2312" w:hint="eastAsia"/>
          <w:sz w:val="32"/>
          <w:szCs w:val="32"/>
        </w:rPr>
        <w:t>万元</w:t>
      </w:r>
      <w:r>
        <w:rPr>
          <w:rFonts w:eastAsia="仿宋_GB2312"/>
          <w:sz w:val="32"/>
          <w:szCs w:val="32"/>
        </w:rPr>
        <w:t>；对个人和家庭的补助支出75.23万元。</w:t>
      </w:r>
    </w:p>
    <w:p>
      <w:pPr>
        <w:keepNext w:val="0"/>
        <w:keepLines w:val="0"/>
        <w:pageBreakBefore w:val="0"/>
        <w:widowControl w:val="0"/>
        <w:kinsoku/>
        <w:wordWrap/>
        <w:overflowPunct/>
        <w:topLinePunct w:val="0"/>
        <w:autoSpaceDE/>
        <w:autoSpaceDN/>
        <w:bidi w:val="0"/>
        <w:adjustRightInd/>
        <w:spacing w:line="540" w:lineRule="exact"/>
        <w:ind w:left="0" w:right="0" w:firstLine="601"/>
        <w:jc w:val="both"/>
        <w:textAlignment w:val="auto"/>
        <w:rPr>
          <w:rFonts w:ascii="仿宋_GB2312" w:eastAsia="仿宋_GB2312" w:hint="eastAsia"/>
          <w:sz w:val="32"/>
          <w:szCs w:val="32"/>
        </w:rPr>
      </w:pPr>
      <w:r>
        <w:rPr>
          <w:rFonts w:eastAsia="仿宋_GB2312" w:hint="eastAsia"/>
          <w:sz w:val="32"/>
          <w:szCs w:val="32"/>
        </w:rPr>
        <w:t>2．公共预算财政拨款项目支出</w:t>
      </w:r>
      <w:r>
        <w:rPr>
          <w:rFonts w:eastAsia="仿宋_GB2312"/>
          <w:sz w:val="32"/>
          <w:szCs w:val="32"/>
          <w:lang w:val="en-US" w:eastAsia="zh-CN"/>
        </w:rPr>
        <w:t>933.50</w:t>
      </w:r>
      <w:r>
        <w:rPr>
          <w:rFonts w:eastAsia="仿宋_GB2312" w:hint="eastAsia"/>
          <w:sz w:val="32"/>
          <w:szCs w:val="32"/>
        </w:rPr>
        <w:t>万元，其中：行政事业类项目支出</w:t>
      </w:r>
      <w:r>
        <w:rPr>
          <w:rFonts w:eastAsia="仿宋_GB2312"/>
          <w:sz w:val="32"/>
          <w:szCs w:val="32"/>
          <w:lang w:val="en-US" w:eastAsia="zh-CN"/>
        </w:rPr>
        <w:t xml:space="preserve"> 933.50 </w:t>
      </w:r>
      <w:r>
        <w:rPr>
          <w:rFonts w:eastAsia="仿宋_GB2312" w:hint="eastAsia"/>
          <w:sz w:val="32"/>
          <w:szCs w:val="32"/>
        </w:rPr>
        <w:t>万元</w:t>
      </w:r>
      <w:r>
        <w:rPr>
          <w:rFonts w:eastAsia="仿宋_GB2312" w:hint="eastAsia"/>
          <w:sz w:val="32"/>
          <w:szCs w:val="32"/>
          <w:lang w:eastAsia="zh-CN"/>
        </w:rPr>
        <w:t>，基本建设类项目支出</w:t>
      </w:r>
      <w:r>
        <w:rPr>
          <w:rFonts w:eastAsia="仿宋_GB2312"/>
          <w:sz w:val="32"/>
          <w:szCs w:val="32"/>
          <w:lang w:val="en-US" w:eastAsia="zh-CN"/>
        </w:rPr>
        <w:t xml:space="preserve"> 0 </w:t>
      </w:r>
      <w:r>
        <w:rPr>
          <w:rFonts w:eastAsia="仿宋_GB2312" w:hint="eastAsia"/>
          <w:sz w:val="32"/>
          <w:szCs w:val="32"/>
          <w:lang w:val="en-US" w:eastAsia="zh-CN"/>
        </w:rPr>
        <w:t>万元</w:t>
      </w:r>
      <w:r>
        <w:rPr>
          <w:rFonts w:eastAsia="仿宋_GB2312" w:hint="eastAsia"/>
          <w:sz w:val="32"/>
          <w:szCs w:val="32"/>
        </w:rPr>
        <w:t>。</w:t>
      </w:r>
    </w:p>
    <w:p>
      <w:pPr>
        <w:keepNext w:val="0"/>
        <w:keepLines w:val="0"/>
        <w:pageBreakBefore w:val="0"/>
        <w:widowControl/>
        <w:kinsoku/>
        <w:wordWrap/>
        <w:overflowPunct/>
        <w:topLinePunct w:val="0"/>
        <w:autoSpaceDE/>
        <w:autoSpaceDN/>
        <w:bidi w:val="0"/>
        <w:adjustRightInd/>
        <w:spacing w:line="540" w:lineRule="exact"/>
        <w:ind w:left="0" w:right="0" w:firstLineChars="200" w:firstLine="640"/>
        <w:jc w:val="both"/>
        <w:textAlignment w:val="auto"/>
        <w:rPr>
          <w:rFonts w:ascii="楷体_GB2312" w:eastAsia="楷体_GB2312" w:cs="楷体_GB2312" w:hint="eastAsia"/>
          <w:b/>
          <w:bCs/>
          <w:color w:val="222222"/>
          <w:kern w:val="0"/>
          <w:sz w:val="32"/>
          <w:szCs w:val="32"/>
        </w:rPr>
      </w:pPr>
      <w:r>
        <w:rPr>
          <w:rFonts w:ascii="楷体_GB2312" w:eastAsia="楷体_GB2312" w:cs="楷体_GB2312" w:hint="eastAsia"/>
          <w:b/>
          <w:bCs/>
          <w:color w:val="222222"/>
          <w:kern w:val="0"/>
          <w:sz w:val="32"/>
          <w:szCs w:val="32"/>
        </w:rPr>
        <w:t>（</w:t>
      </w:r>
      <w:r>
        <w:rPr>
          <w:rFonts w:ascii="楷体_GB2312" w:eastAsia="楷体_GB2312" w:cs="楷体_GB2312" w:hint="eastAsia"/>
          <w:b/>
          <w:bCs/>
          <w:color w:val="222222"/>
          <w:kern w:val="0"/>
          <w:sz w:val="32"/>
          <w:szCs w:val="32"/>
          <w:lang w:eastAsia="zh-CN"/>
        </w:rPr>
        <w:t>二</w:t>
      </w:r>
      <w:r>
        <w:rPr>
          <w:rFonts w:ascii="楷体_GB2312" w:eastAsia="楷体_GB2312" w:cs="楷体_GB2312" w:hint="eastAsia"/>
          <w:b/>
          <w:bCs/>
          <w:color w:val="222222"/>
          <w:kern w:val="0"/>
          <w:sz w:val="32"/>
          <w:szCs w:val="32"/>
        </w:rPr>
        <w:t>）部门预算收支决算情况</w:t>
      </w:r>
    </w:p>
    <w:p>
      <w:pPr>
        <w:keepNext w:val="0"/>
        <w:keepLines w:val="0"/>
        <w:pageBreakBefore w:val="0"/>
        <w:widowControl w:val="0"/>
        <w:kinsoku/>
        <w:wordWrap/>
        <w:overflowPunct/>
        <w:topLinePunct w:val="0"/>
        <w:autoSpaceDE/>
        <w:autoSpaceDN/>
        <w:adjustRightInd/>
        <w:spacing w:line="540" w:lineRule="exact"/>
        <w:ind w:firstLineChars="150" w:firstLine="480"/>
        <w:rPr>
          <w:rFonts w:ascii="仿宋_GB2312" w:eastAsia="仿宋_GB2312" w:hint="eastAsia"/>
          <w:sz w:val="32"/>
          <w:szCs w:val="32"/>
        </w:rPr>
      </w:pPr>
      <w:r>
        <w:rPr>
          <w:rFonts w:eastAsia="仿宋_GB2312"/>
          <w:sz w:val="32"/>
          <w:szCs w:val="32"/>
        </w:rPr>
        <w:t>1</w:t>
      </w:r>
      <w:r>
        <w:rPr>
          <w:rFonts w:ascii="仿宋_GB2312" w:eastAsia="仿宋_GB2312" w:hint="eastAsia"/>
          <w:sz w:val="32"/>
          <w:szCs w:val="32"/>
        </w:rPr>
        <w:t>．部门预算收支情况。</w:t>
      </w:r>
      <w:r>
        <w:rPr>
          <w:rFonts w:eastAsia="仿宋_GB2312"/>
          <w:sz w:val="32"/>
          <w:szCs w:val="32"/>
        </w:rPr>
        <w:t>2020</w:t>
      </w:r>
      <w:r>
        <w:rPr>
          <w:rFonts w:ascii="仿宋_GB2312" w:eastAsia="仿宋_GB2312" w:hint="eastAsia"/>
          <w:sz w:val="32"/>
          <w:szCs w:val="32"/>
        </w:rPr>
        <w:t>年收入预算数</w:t>
      </w:r>
      <w:r>
        <w:rPr>
          <w:rFonts w:eastAsia="仿宋_GB2312"/>
          <w:sz w:val="32"/>
          <w:szCs w:val="32"/>
          <w:lang w:val="en-US" w:eastAsia="zh-CN"/>
        </w:rPr>
        <w:t>1308.47</w:t>
      </w:r>
      <w:r>
        <w:rPr>
          <w:rFonts w:ascii="仿宋_GB2312" w:eastAsia="仿宋_GB2312" w:hint="eastAsia"/>
          <w:sz w:val="32"/>
          <w:szCs w:val="32"/>
        </w:rPr>
        <w:t>万元，其中</w:t>
      </w:r>
      <w:r>
        <w:rPr>
          <w:rFonts w:ascii="仿宋_GB2312" w:eastAsia="仿宋_GB2312"/>
          <w:sz w:val="32"/>
          <w:szCs w:val="32"/>
        </w:rPr>
        <w:t>：</w:t>
      </w:r>
      <w:r>
        <w:rPr>
          <w:rFonts w:ascii="仿宋_GB2312" w:eastAsia="仿宋_GB2312" w:hint="eastAsia"/>
          <w:sz w:val="32"/>
          <w:szCs w:val="32"/>
        </w:rPr>
        <w:t>公共预算财政拨款收入</w:t>
      </w:r>
      <w:r>
        <w:rPr>
          <w:rFonts w:eastAsia="仿宋_GB2312"/>
          <w:sz w:val="32"/>
          <w:szCs w:val="32"/>
          <w:lang w:val="en-US" w:eastAsia="zh-CN"/>
        </w:rPr>
        <w:t xml:space="preserve"> 684.24</w:t>
      </w:r>
      <w:r>
        <w:rPr>
          <w:rFonts w:ascii="仿宋_GB2312" w:eastAsia="仿宋_GB2312" w:hint="eastAsia"/>
          <w:sz w:val="32"/>
          <w:szCs w:val="32"/>
        </w:rPr>
        <w:t>万元，</w:t>
      </w:r>
      <w:r>
        <w:rPr>
          <w:rFonts w:ascii="仿宋_GB2312" w:eastAsia="仿宋_GB2312" w:hint="eastAsia"/>
          <w:sz w:val="32"/>
          <w:szCs w:val="32"/>
          <w:lang w:eastAsia="zh-CN"/>
        </w:rPr>
        <w:t>上级补助收入</w:t>
      </w:r>
      <w:r>
        <w:rPr>
          <w:rFonts w:ascii="Calibri" w:eastAsia="仿宋_GB2312" w:hAnsi="Calibri"/>
          <w:sz w:val="32"/>
          <w:szCs w:val="32"/>
          <w:lang w:val="en-US" w:eastAsia="zh-CN"/>
        </w:rPr>
        <w:t xml:space="preserve"> 110.98  </w:t>
      </w:r>
      <w:r>
        <w:rPr>
          <w:rFonts w:ascii="仿宋_GB2312" w:eastAsia="仿宋_GB2312" w:hint="eastAsia"/>
          <w:sz w:val="32"/>
          <w:szCs w:val="32"/>
          <w:lang w:val="en-US" w:eastAsia="zh-CN"/>
        </w:rPr>
        <w:t>万元，</w:t>
      </w:r>
      <w:r>
        <w:rPr>
          <w:rFonts w:ascii="仿宋_GB2312" w:eastAsia="仿宋_GB2312" w:hint="eastAsia"/>
          <w:sz w:val="32"/>
          <w:szCs w:val="32"/>
        </w:rPr>
        <w:t>其他收入</w:t>
      </w:r>
      <w:r>
        <w:rPr>
          <w:rFonts w:eastAsia="仿宋_GB2312"/>
          <w:sz w:val="32"/>
          <w:szCs w:val="32"/>
          <w:lang w:val="en-US" w:eastAsia="zh-CN"/>
        </w:rPr>
        <w:t>263.77</w:t>
      </w:r>
      <w:r>
        <w:rPr>
          <w:rFonts w:ascii="仿宋_GB2312" w:eastAsia="仿宋_GB2312" w:hint="eastAsia"/>
          <w:sz w:val="32"/>
          <w:szCs w:val="32"/>
        </w:rPr>
        <w:t>万元。支出预算数</w:t>
      </w:r>
      <w:r>
        <w:rPr>
          <w:rFonts w:eastAsia="仿宋_GB2312"/>
          <w:sz w:val="32"/>
          <w:szCs w:val="32"/>
          <w:lang w:val="en-US" w:eastAsia="zh-CN"/>
        </w:rPr>
        <w:t>1308.47</w:t>
      </w:r>
      <w:r>
        <w:rPr>
          <w:rFonts w:ascii="仿宋_GB2312" w:eastAsia="仿宋_GB2312" w:hint="eastAsia"/>
          <w:sz w:val="32"/>
          <w:szCs w:val="32"/>
        </w:rPr>
        <w:t>万元，其中</w:t>
      </w:r>
      <w:r>
        <w:rPr>
          <w:rFonts w:ascii="仿宋_GB2312" w:eastAsia="仿宋_GB2312"/>
          <w:sz w:val="32"/>
          <w:szCs w:val="32"/>
        </w:rPr>
        <w:t>基本</w:t>
      </w:r>
      <w:r>
        <w:rPr>
          <w:rFonts w:ascii="仿宋_GB2312" w:eastAsia="仿宋_GB2312" w:hint="eastAsia"/>
          <w:sz w:val="32"/>
          <w:szCs w:val="32"/>
        </w:rPr>
        <w:t>支出</w:t>
      </w:r>
      <w:r>
        <w:rPr>
          <w:rFonts w:eastAsia="仿宋_GB2312"/>
          <w:sz w:val="32"/>
          <w:szCs w:val="32"/>
          <w:lang w:val="en-US" w:eastAsia="zh-CN"/>
        </w:rPr>
        <w:t xml:space="preserve"> 635.57</w:t>
      </w:r>
      <w:r>
        <w:rPr>
          <w:rFonts w:ascii="仿宋_GB2312" w:eastAsia="仿宋_GB2312" w:hint="eastAsia"/>
          <w:sz w:val="32"/>
          <w:szCs w:val="32"/>
        </w:rPr>
        <w:t>万元，</w:t>
      </w:r>
      <w:r>
        <w:rPr>
          <w:rFonts w:ascii="仿宋_GB2312" w:eastAsia="仿宋_GB2312"/>
          <w:sz w:val="32"/>
          <w:szCs w:val="32"/>
        </w:rPr>
        <w:t>项目</w:t>
      </w:r>
      <w:r>
        <w:rPr>
          <w:rFonts w:ascii="仿宋_GB2312" w:eastAsia="仿宋_GB2312" w:hint="eastAsia"/>
          <w:sz w:val="32"/>
          <w:szCs w:val="32"/>
        </w:rPr>
        <w:t>支出</w:t>
      </w:r>
      <w:r>
        <w:rPr>
          <w:rFonts w:eastAsia="仿宋_GB2312"/>
          <w:sz w:val="32"/>
          <w:szCs w:val="32"/>
          <w:lang w:val="en-US" w:eastAsia="zh-CN"/>
        </w:rPr>
        <w:t>540.90</w:t>
      </w:r>
      <w:r>
        <w:rPr>
          <w:rFonts w:ascii="仿宋_GB2312" w:eastAsia="仿宋_GB2312" w:hint="eastAsia"/>
          <w:sz w:val="32"/>
          <w:szCs w:val="32"/>
        </w:rPr>
        <w:t>万元，对</w:t>
      </w:r>
      <w:r>
        <w:rPr>
          <w:rFonts w:ascii="仿宋_GB2312" w:eastAsia="仿宋_GB2312"/>
          <w:sz w:val="32"/>
          <w:szCs w:val="32"/>
        </w:rPr>
        <w:t>附属单位</w:t>
      </w:r>
      <w:r>
        <w:rPr>
          <w:rFonts w:ascii="仿宋_GB2312" w:eastAsia="仿宋_GB2312" w:hint="eastAsia"/>
          <w:sz w:val="32"/>
          <w:szCs w:val="32"/>
        </w:rPr>
        <w:t>补助</w:t>
      </w:r>
      <w:r>
        <w:rPr>
          <w:rFonts w:ascii="仿宋_GB2312" w:eastAsia="仿宋_GB2312"/>
          <w:sz w:val="32"/>
          <w:szCs w:val="32"/>
        </w:rPr>
        <w:t>性</w:t>
      </w:r>
      <w:r>
        <w:rPr>
          <w:rFonts w:ascii="仿宋_GB2312" w:eastAsia="仿宋_GB2312" w:hint="eastAsia"/>
          <w:sz w:val="32"/>
          <w:szCs w:val="32"/>
        </w:rPr>
        <w:t>支出</w:t>
      </w:r>
      <w:r>
        <w:rPr>
          <w:rFonts w:eastAsia="仿宋_GB2312"/>
          <w:sz w:val="32"/>
          <w:szCs w:val="32"/>
          <w:lang w:val="en-US" w:eastAsia="zh-CN"/>
        </w:rPr>
        <w:t xml:space="preserve">132.00 </w:t>
      </w:r>
      <w:r>
        <w:rPr>
          <w:rFonts w:ascii="仿宋_GB2312" w:eastAsia="仿宋_GB2312" w:hint="eastAsia"/>
          <w:sz w:val="32"/>
          <w:szCs w:val="32"/>
        </w:rPr>
        <w:t>万元</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right="0" w:firstLineChars="150" w:firstLine="48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（二）部门预算收支决算情况</w:t>
      </w:r>
    </w:p>
    <w:p>
      <w:pPr>
        <w:keepNext w:val="0"/>
        <w:keepLines w:val="0"/>
        <w:pageBreakBefore w:val="0"/>
        <w:widowControl w:val="0"/>
        <w:kinsoku/>
        <w:wordWrap/>
        <w:overflowPunct/>
        <w:topLinePunct w:val="0"/>
        <w:autoSpaceDE/>
        <w:autoSpaceDN/>
        <w:bidi w:val="0"/>
        <w:adjustRightInd/>
        <w:spacing w:line="540" w:lineRule="exact"/>
        <w:ind w:left="0" w:right="0" w:firstLineChars="200" w:firstLine="640"/>
        <w:jc w:val="both"/>
        <w:textAlignment w:val="auto"/>
        <w:rPr>
          <w:rFonts w:ascii="仿宋_GB2312" w:eastAsia="仿宋_GB2312" w:hint="eastAsia"/>
          <w:sz w:val="32"/>
          <w:szCs w:val="32"/>
        </w:rPr>
      </w:pPr>
      <w:r>
        <w:rPr>
          <w:rFonts w:eastAsia="仿宋_GB2312"/>
          <w:sz w:val="32"/>
          <w:szCs w:val="32"/>
        </w:rPr>
        <w:t>1. 2020</w:t>
      </w:r>
      <w:r>
        <w:rPr>
          <w:rFonts w:ascii="仿宋_GB2312" w:eastAsia="仿宋_GB2312" w:hint="eastAsia"/>
          <w:sz w:val="32"/>
          <w:szCs w:val="32"/>
        </w:rPr>
        <w:t>年度收入决算数</w:t>
      </w:r>
      <w:r>
        <w:rPr>
          <w:rFonts w:eastAsia="仿宋_GB2312"/>
          <w:sz w:val="32"/>
          <w:szCs w:val="32"/>
          <w:lang w:val="en-US" w:eastAsia="zh-CN"/>
        </w:rPr>
        <w:t>3036.03</w:t>
      </w:r>
      <w:r>
        <w:rPr>
          <w:rFonts w:ascii="仿宋_GB2312" w:eastAsia="仿宋_GB2312" w:hint="eastAsia"/>
          <w:sz w:val="32"/>
          <w:szCs w:val="32"/>
        </w:rPr>
        <w:t>万元。支出决算数</w:t>
      </w:r>
      <w:r>
        <w:rPr>
          <w:rFonts w:eastAsia="仿宋_GB2312"/>
          <w:sz w:val="32"/>
          <w:szCs w:val="32"/>
          <w:lang w:val="en-US" w:eastAsia="zh-CN"/>
        </w:rPr>
        <w:t>3036.03</w:t>
      </w:r>
      <w:r>
        <w:rPr>
          <w:rFonts w:ascii="仿宋_GB2312" w:eastAsia="仿宋_GB2312" w:hint="eastAsia"/>
          <w:sz w:val="32"/>
          <w:szCs w:val="32"/>
        </w:rPr>
        <w:t>万元，其中工资福利支出</w:t>
      </w:r>
      <w:r>
        <w:rPr>
          <w:rFonts w:ascii="仿宋_GB2312" w:eastAsia="仿宋_GB2312"/>
          <w:sz w:val="32"/>
          <w:szCs w:val="32"/>
          <w:lang w:val="en-US" w:eastAsia="zh-CN"/>
        </w:rPr>
        <w:t>423.44</w:t>
      </w:r>
      <w:r>
        <w:rPr>
          <w:rFonts w:ascii="仿宋_GB2312" w:eastAsia="仿宋_GB2312" w:hint="eastAsia"/>
          <w:sz w:val="32"/>
          <w:szCs w:val="32"/>
        </w:rPr>
        <w:t>万元，商品和服务支出</w:t>
      </w:r>
      <w:r>
        <w:rPr>
          <w:rFonts w:eastAsia="仿宋_GB2312"/>
          <w:sz w:val="32"/>
          <w:szCs w:val="32"/>
          <w:lang w:val="en-US" w:eastAsia="zh-CN"/>
        </w:rPr>
        <w:t>152.74</w:t>
      </w:r>
      <w:r>
        <w:rPr>
          <w:rFonts w:ascii="仿宋_GB2312" w:eastAsia="仿宋_GB2312" w:hint="eastAsia"/>
          <w:sz w:val="32"/>
          <w:szCs w:val="32"/>
        </w:rPr>
        <w:t>万元，对个人和家庭的补助支出</w:t>
      </w:r>
      <w:r>
        <w:rPr>
          <w:rFonts w:eastAsia="仿宋_GB2312"/>
          <w:sz w:val="32"/>
          <w:szCs w:val="32"/>
          <w:lang w:val="en-US" w:eastAsia="zh-CN"/>
        </w:rPr>
        <w:t>75.23</w:t>
      </w:r>
      <w:r>
        <w:rPr>
          <w:rFonts w:ascii="仿宋_GB2312" w:eastAsia="仿宋_GB2312" w:hint="eastAsia"/>
          <w:sz w:val="32"/>
          <w:szCs w:val="32"/>
        </w:rPr>
        <w:t>万元</w:t>
      </w:r>
      <w:r>
        <w:rPr>
          <w:rFonts w:ascii="仿宋_GB2312" w:eastAsia="仿宋_GB2312" w:hint="eastAsia"/>
          <w:sz w:val="32"/>
          <w:szCs w:val="32"/>
          <w:lang w:eastAsia="zh-CN"/>
        </w:rPr>
        <w:t>，</w:t>
      </w:r>
      <w:r>
        <w:rPr>
          <w:rFonts w:ascii="仿宋_GB2312" w:eastAsia="仿宋_GB2312"/>
          <w:sz w:val="32"/>
          <w:szCs w:val="32"/>
          <w:lang w:eastAsia="zh-CN"/>
        </w:rPr>
        <w:t>项目</w:t>
      </w:r>
      <w:r>
        <w:rPr>
          <w:rFonts w:ascii="仿宋_GB2312" w:eastAsia="仿宋_GB2312" w:hint="eastAsia"/>
          <w:sz w:val="32"/>
          <w:szCs w:val="32"/>
          <w:lang w:eastAsia="zh-CN"/>
        </w:rPr>
        <w:t>支出</w:t>
      </w:r>
      <w:r>
        <w:rPr>
          <w:rFonts w:ascii="仿宋_GB2312" w:eastAsia="仿宋_GB2312"/>
          <w:sz w:val="32"/>
          <w:szCs w:val="32"/>
          <w:lang w:val="en-US" w:eastAsia="zh-CN"/>
        </w:rPr>
        <w:t>933.50</w:t>
      </w:r>
      <w:r>
        <w:rPr>
          <w:rFonts w:ascii="仿宋_GB2312" w:eastAsia="仿宋_GB2312" w:hint="eastAsia"/>
          <w:sz w:val="32"/>
          <w:szCs w:val="32"/>
          <w:lang w:val="en-US" w:eastAsia="zh-CN"/>
        </w:rPr>
        <w:t>万元</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adjustRightInd/>
        <w:spacing w:line="540" w:lineRule="exact"/>
        <w:ind w:left="0" w:firstLineChars="200" w:firstLine="640"/>
        <w:rPr>
          <w:rFonts w:ascii="仿宋_GB2312" w:eastAsia="仿宋_GB2312" w:hint="eastAsia"/>
          <w:sz w:val="32"/>
          <w:szCs w:val="32"/>
        </w:rPr>
      </w:pPr>
      <w:r>
        <w:rPr>
          <w:rFonts w:eastAsia="仿宋_GB2312"/>
          <w:sz w:val="32"/>
          <w:szCs w:val="32"/>
        </w:rPr>
        <w:t>2．</w:t>
      </w:r>
      <w:r>
        <w:rPr>
          <w:rFonts w:eastAsia="仿宋_GB2312" w:hint="eastAsia"/>
          <w:sz w:val="32"/>
          <w:szCs w:val="32"/>
        </w:rPr>
        <w:t>年初收支结转和年末收支结余情况。</w:t>
      </w:r>
      <w:r>
        <w:rPr>
          <w:rFonts w:eastAsia="仿宋_GB2312"/>
          <w:sz w:val="32"/>
          <w:szCs w:val="32"/>
        </w:rPr>
        <w:t>2020</w:t>
      </w:r>
      <w:r>
        <w:rPr>
          <w:rFonts w:ascii="仿宋_GB2312" w:eastAsia="仿宋_GB2312" w:hint="eastAsia"/>
          <w:sz w:val="32"/>
          <w:szCs w:val="32"/>
        </w:rPr>
        <w:t>年度年初收支结转资金</w:t>
      </w:r>
      <w:r>
        <w:rPr>
          <w:rFonts w:eastAsia="仿宋_GB2312" w:hint="eastAsia"/>
          <w:sz w:val="32"/>
          <w:szCs w:val="32"/>
          <w:lang w:val="en-US" w:eastAsia="zh-CN"/>
        </w:rPr>
        <w:t>295.93</w:t>
      </w:r>
      <w:r>
        <w:rPr>
          <w:rFonts w:ascii="仿宋_GB2312" w:eastAsia="仿宋_GB2312" w:hint="eastAsia"/>
          <w:sz w:val="32"/>
          <w:szCs w:val="32"/>
        </w:rPr>
        <w:t>万元，年末收支结余资金</w:t>
      </w:r>
      <w:r>
        <w:rPr>
          <w:rFonts w:eastAsia="仿宋_GB2312" w:hint="eastAsia"/>
          <w:sz w:val="32"/>
          <w:szCs w:val="32"/>
          <w:lang w:val="en-US" w:eastAsia="zh-CN"/>
        </w:rPr>
        <w:t>1487.83</w:t>
      </w:r>
      <w:r>
        <w:rPr>
          <w:rFonts w:ascii="仿宋_GB2312" w:eastAsia="仿宋_GB2312" w:hint="eastAsia"/>
          <w:sz w:val="32"/>
          <w:szCs w:val="32"/>
        </w:rPr>
        <w:t>万</w:t>
      </w:r>
      <w:r>
        <w:rPr>
          <w:rFonts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pacing w:line="540" w:lineRule="exact"/>
        <w:ind w:right="0" w:firstLineChars="150" w:firstLine="48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（三） “三公经费”支出使用和管理情况</w:t>
      </w:r>
    </w:p>
    <w:p>
      <w:pPr>
        <w:keepNext w:val="0"/>
        <w:keepLines w:val="0"/>
        <w:pageBreakBefore w:val="0"/>
        <w:widowControl w:val="0"/>
        <w:kinsoku/>
        <w:wordWrap/>
        <w:overflowPunct/>
        <w:topLinePunct w:val="0"/>
        <w:autoSpaceDE/>
        <w:autoSpaceDN/>
        <w:bidi w:val="0"/>
        <w:adjustRightInd/>
        <w:spacing w:line="540" w:lineRule="exact"/>
        <w:ind w:left="0" w:right="0" w:firstLineChars="200" w:firstLine="640"/>
        <w:jc w:val="both"/>
        <w:textAlignment w:val="auto"/>
        <w:rPr>
          <w:rFonts w:ascii="仿宋_GB2312" w:eastAsia="仿宋_GB2312" w:hint="eastAsia"/>
          <w:sz w:val="32"/>
          <w:szCs w:val="32"/>
        </w:rPr>
      </w:pPr>
      <w:r>
        <w:rPr>
          <w:rFonts w:eastAsia="仿宋_GB2312"/>
          <w:sz w:val="32"/>
          <w:szCs w:val="32"/>
        </w:rPr>
        <w:t>2020</w:t>
      </w:r>
      <w:r>
        <w:rPr>
          <w:rFonts w:ascii="仿宋_GB2312" w:eastAsia="仿宋_GB2312" w:hint="eastAsia"/>
          <w:sz w:val="32"/>
          <w:szCs w:val="32"/>
        </w:rPr>
        <w:t>年度公共预算财政拨款“三公经费”支出</w:t>
      </w:r>
      <w:r>
        <w:rPr>
          <w:rFonts w:eastAsia="仿宋_GB2312"/>
          <w:sz w:val="32"/>
          <w:szCs w:val="32"/>
          <w:lang w:val="en-US" w:eastAsia="zh-CN"/>
        </w:rPr>
        <w:t>37.02</w:t>
      </w:r>
      <w:r>
        <w:rPr>
          <w:rFonts w:ascii="仿宋_GB2312" w:eastAsia="仿宋_GB2312" w:hint="eastAsia"/>
          <w:sz w:val="32"/>
          <w:szCs w:val="32"/>
        </w:rPr>
        <w:t>万元，其中公务接待费</w:t>
      </w:r>
      <w:r>
        <w:rPr>
          <w:rFonts w:eastAsia="仿宋_GB2312"/>
          <w:sz w:val="32"/>
          <w:szCs w:val="32"/>
          <w:lang w:val="en-US" w:eastAsia="zh-CN"/>
        </w:rPr>
        <w:t>27.42</w:t>
      </w:r>
      <w:r>
        <w:rPr>
          <w:rFonts w:ascii="仿宋_GB2312" w:eastAsia="仿宋_GB2312" w:hint="eastAsia"/>
          <w:sz w:val="32"/>
          <w:szCs w:val="32"/>
        </w:rPr>
        <w:t>万元</w:t>
      </w:r>
      <w:r>
        <w:rPr>
          <w:rFonts w:ascii="仿宋_GB2312" w:eastAsia="仿宋_GB2312"/>
          <w:sz w:val="32"/>
          <w:szCs w:val="32"/>
        </w:rPr>
        <w:t>，公务用车购置费及运行维护费支出9.6万元，</w:t>
      </w:r>
      <w:r>
        <w:rPr>
          <w:rFonts w:ascii="仿宋_GB2312" w:eastAsia="仿宋_GB2312" w:hint="eastAsia"/>
          <w:sz w:val="32"/>
          <w:szCs w:val="32"/>
        </w:rPr>
        <w:t>一直以来，我</w:t>
      </w:r>
      <w:r>
        <w:rPr>
          <w:rFonts w:ascii="仿宋_GB2312" w:eastAsia="仿宋_GB2312"/>
          <w:sz w:val="32"/>
          <w:szCs w:val="32"/>
        </w:rPr>
        <w:t>局</w:t>
      </w:r>
      <w:r>
        <w:rPr>
          <w:rFonts w:ascii="仿宋_GB2312" w:eastAsia="仿宋_GB2312" w:hint="eastAsia"/>
          <w:sz w:val="32"/>
          <w:szCs w:val="32"/>
        </w:rPr>
        <w:t>严格按照公务接待管理规定执行，强化公务接</w:t>
      </w:r>
      <w:bookmarkStart w:id="0" w:name="_GoBack"/>
      <w:bookmarkEnd w:id="0"/>
      <w:r>
        <w:rPr>
          <w:rFonts w:ascii="仿宋_GB2312" w:eastAsia="仿宋_GB2312" w:hint="eastAsia"/>
          <w:sz w:val="32"/>
          <w:szCs w:val="32"/>
        </w:rPr>
        <w:t>待管理。</w:t>
      </w:r>
    </w:p>
    <w:p>
      <w:pPr>
        <w:widowControl/>
        <w:spacing w:line="640" w:lineRule="exact"/>
        <w:ind w:left="0" w:firstLineChars="250" w:firstLine="800"/>
        <w:rPr>
          <w:rFonts w:ascii="黑体" w:eastAsia="黑体" w:cs="Times New Roman"/>
          <w:kern w:val="0"/>
          <w:sz w:val="32"/>
          <w:szCs w:val="32"/>
        </w:rPr>
      </w:pPr>
      <w:r>
        <w:rPr>
          <w:rFonts w:ascii="黑体" w:eastAsia="黑体" w:cs="Times New Roman"/>
          <w:kern w:val="0"/>
          <w:sz w:val="32"/>
          <w:szCs w:val="32"/>
        </w:rPr>
        <w:t>三、部门绩效目标</w:t>
      </w:r>
    </w:p>
    <w:p>
      <w:pPr>
        <w:numPr>
          <w:ilvl w:val="0"/>
          <w:numId w:val="2"/>
        </w:numPr>
        <w:rPr>
          <w:rFonts w:ascii="仿宋" w:eastAsia="仿宋"/>
          <w:sz w:val="32"/>
          <w:szCs w:val="32"/>
        </w:rPr>
      </w:pPr>
      <w:r>
        <w:rPr>
          <w:rFonts w:ascii="仿宋" w:eastAsia="仿宋"/>
          <w:sz w:val="32"/>
          <w:szCs w:val="32"/>
        </w:rPr>
        <w:t>部门绩效总目标</w:t>
      </w:r>
    </w:p>
    <w:p>
      <w:pPr>
        <w:ind w:firstLineChars="200" w:firstLine="640"/>
        <w:rPr>
          <w:rFonts w:ascii="仿宋" w:eastAsia="仿宋"/>
          <w:sz w:val="32"/>
          <w:szCs w:val="32"/>
        </w:rPr>
      </w:pPr>
      <w:r>
        <w:rPr>
          <w:rFonts w:ascii="仿宋" w:eastAsia="仿宋"/>
          <w:sz w:val="32"/>
          <w:szCs w:val="32"/>
        </w:rPr>
        <w:t>2020年我局的绩效总目标是：</w:t>
      </w:r>
    </w:p>
    <w:p>
      <w:pPr>
        <w:ind w:firstLineChars="200" w:firstLine="640"/>
        <w:rPr>
          <w:rFonts w:ascii="仿宋" w:eastAsia="仿宋" w:hint="eastAsia"/>
          <w:sz w:val="32"/>
          <w:szCs w:val="32"/>
        </w:rPr>
      </w:pPr>
      <w:r>
        <w:rPr>
          <w:rFonts w:ascii="仿宋" w:eastAsia="仿宋" w:hint="eastAsia"/>
          <w:sz w:val="32"/>
          <w:szCs w:val="32"/>
        </w:rPr>
        <w:t>1、增强企业安全生产责任意识，提高全县非煤矿山、烟花爆竹、危险化学品和一般工贸行业领域生产经营单位安全生产管理水平、减少一般事故，杜绝较大以上事故发生。</w:t>
      </w:r>
      <w:r>
        <w:rPr>
          <w:rFonts w:ascii="宋体" w:eastAsia="宋体" w:hint="eastAsia"/>
          <w:sz w:val="20"/>
        </w:rPr>
        <w:t xml:space="preserve">                                                             </w:t>
      </w:r>
    </w:p>
    <w:p>
      <w:pPr>
        <w:ind w:firstLineChars="200" w:firstLine="640"/>
        <w:rPr>
          <w:rFonts w:ascii="仿宋" w:eastAsia="仿宋"/>
          <w:sz w:val="32"/>
          <w:szCs w:val="32"/>
        </w:rPr>
      </w:pPr>
      <w:r>
        <w:rPr>
          <w:rFonts w:ascii="仿宋" w:eastAsia="仿宋"/>
          <w:sz w:val="32"/>
          <w:szCs w:val="32"/>
        </w:rPr>
        <w:t>2</w:t>
      </w:r>
      <w:r>
        <w:rPr>
          <w:rFonts w:ascii="仿宋" w:eastAsia="仿宋" w:hint="eastAsia"/>
          <w:sz w:val="32"/>
          <w:szCs w:val="32"/>
        </w:rPr>
        <w:t>、提高综合监管，全面落实各项工作任务，</w:t>
      </w:r>
      <w:r>
        <w:rPr>
          <w:rFonts w:ascii="仿宋" w:eastAsia="仿宋"/>
          <w:sz w:val="32"/>
          <w:szCs w:val="32"/>
        </w:rPr>
        <w:t>防范化解事故风险，</w:t>
      </w:r>
      <w:r>
        <w:rPr>
          <w:rFonts w:ascii="仿宋" w:eastAsia="仿宋" w:hint="eastAsia"/>
          <w:sz w:val="32"/>
          <w:szCs w:val="32"/>
        </w:rPr>
        <w:t>确保不发生较大以上安全生产责任事故，确保事故指标不突破，确保长期稳定安全生产局面。</w:t>
      </w:r>
    </w:p>
    <w:p>
      <w:pPr>
        <w:ind w:firstLineChars="200" w:firstLine="640"/>
        <w:rPr>
          <w:rFonts w:ascii="仿宋" w:eastAsia="仿宋"/>
          <w:sz w:val="32"/>
          <w:szCs w:val="32"/>
        </w:rPr>
      </w:pPr>
      <w:r>
        <w:rPr>
          <w:rFonts w:ascii="仿宋" w:eastAsia="仿宋"/>
          <w:sz w:val="32"/>
          <w:szCs w:val="32"/>
        </w:rPr>
        <w:t>3、加强应急值守，严格执行领导带班、关键岗位24小时值班和事故报送及时、准确。</w:t>
      </w:r>
      <w:r>
        <w:rPr>
          <w:rFonts w:ascii="仿宋" w:eastAsia="仿宋" w:hint="eastAsia"/>
          <w:sz w:val="32"/>
          <w:szCs w:val="32"/>
        </w:rPr>
        <w:t>加强</w:t>
      </w:r>
      <w:r>
        <w:rPr>
          <w:rFonts w:ascii="仿宋" w:eastAsia="仿宋"/>
          <w:sz w:val="32"/>
          <w:szCs w:val="32"/>
        </w:rPr>
        <w:t>演练备战，不断提高应急能力和水平，确保一旦发生险情，第一时间启动响应、有力有序处置到位，高度戒备、严防死守、坚决防止较大以上事故发生。</w:t>
      </w:r>
    </w:p>
    <w:p>
      <w:pPr>
        <w:ind w:firstLineChars="200" w:firstLine="640"/>
        <w:rPr>
          <w:rFonts w:ascii="仿宋" w:eastAsia="仿宋" w:hint="eastAsia"/>
          <w:sz w:val="32"/>
          <w:szCs w:val="32"/>
        </w:rPr>
      </w:pPr>
      <w:r>
        <w:rPr>
          <w:rFonts w:ascii="仿宋" w:eastAsia="仿宋"/>
          <w:sz w:val="32"/>
          <w:szCs w:val="32"/>
        </w:rPr>
        <w:t>4、加强应急管理干部队伍建设，把思想政治建设放在干部队伍建设的首要位置，抓实理论学习、深入调查研究、深入检视问题、认真落实整改。</w:t>
      </w:r>
    </w:p>
    <w:p>
      <w:pPr>
        <w:ind w:firstLineChars="200" w:firstLine="640"/>
        <w:rPr>
          <w:rFonts w:ascii="仿宋" w:eastAsia="仿宋" w:hint="eastAsia"/>
          <w:sz w:val="32"/>
          <w:szCs w:val="32"/>
        </w:rPr>
      </w:pPr>
      <w:r>
        <w:rPr>
          <w:rFonts w:ascii="仿宋" w:eastAsia="仿宋"/>
          <w:sz w:val="32"/>
          <w:szCs w:val="32"/>
        </w:rPr>
        <w:t>5</w:t>
      </w:r>
      <w:r>
        <w:rPr>
          <w:rFonts w:ascii="仿宋" w:eastAsia="仿宋" w:hint="eastAsia"/>
          <w:sz w:val="32"/>
          <w:szCs w:val="32"/>
        </w:rPr>
        <w:t>、加强安全常识普及及宣传和全县安全生产综合信息平台建设，及时调查处理安全生产责任事故，严厉打击非法生产和经营、狠抓监管责任进一步落实到位，培育一批安全管理先进单位等工作，控制一般事故，杜绝较大以上事故。</w:t>
      </w:r>
    </w:p>
    <w:p>
      <w:pPr>
        <w:ind w:left="0" w:firstLineChars="150" w:firstLine="480"/>
        <w:rPr>
          <w:rFonts w:ascii="仿宋" w:eastAsia="仿宋"/>
          <w:sz w:val="32"/>
          <w:szCs w:val="32"/>
        </w:rPr>
      </w:pPr>
      <w:r>
        <w:rPr>
          <w:rFonts w:ascii="Times New Roman" w:eastAsia="仿宋_GB2312" w:cs="Times New Roman" w:hAnsi="Times New Roman"/>
          <w:kern w:val="0"/>
          <w:sz w:val="32"/>
          <w:szCs w:val="32"/>
        </w:rPr>
        <w:t>（二）</w:t>
      </w:r>
      <w:r>
        <w:rPr>
          <w:rFonts w:eastAsia="仿宋"/>
          <w:color w:val="000000"/>
          <w:sz w:val="32"/>
          <w:szCs w:val="32"/>
        </w:rPr>
        <w:t>2020年度</w:t>
      </w:r>
      <w:r>
        <w:rPr>
          <w:rFonts w:ascii="仿宋" w:eastAsia="仿宋"/>
          <w:sz w:val="32"/>
          <w:szCs w:val="32"/>
        </w:rPr>
        <w:t>部门绩效目标</w:t>
      </w:r>
    </w:p>
    <w:p>
      <w:pPr>
        <w:spacing w:line="560" w:lineRule="exact"/>
        <w:ind w:firstLineChars="200" w:firstLine="640"/>
        <w:contextualSpacing/>
        <w:rPr>
          <w:rFonts w:eastAsia="仿宋"/>
          <w:color w:val="000000"/>
          <w:sz w:val="32"/>
          <w:szCs w:val="32"/>
        </w:rPr>
      </w:pPr>
      <w:r>
        <w:rPr>
          <w:rFonts w:eastAsia="仿宋"/>
          <w:color w:val="000000"/>
          <w:sz w:val="32"/>
          <w:szCs w:val="32"/>
        </w:rPr>
        <w:t>2020年我县的安全生产和消防工作目标是“三下降、一杜绝”，即事故起数、死亡人数和经济损失与上年度相比下降，坚决杜绝较大及以上安全生产事故发生，力争全市、全省安全生产工作先进县。</w:t>
      </w:r>
    </w:p>
    <w:p>
      <w:pPr>
        <w:keepNext w:val="0"/>
        <w:keepLines w:val="0"/>
        <w:pageBreakBefore w:val="0"/>
        <w:widowControl/>
        <w:kinsoku/>
        <w:wordWrap/>
        <w:overflowPunct/>
        <w:topLinePunct w:val="0"/>
        <w:autoSpaceDE/>
        <w:autoSpaceDN/>
        <w:bidi w:val="0"/>
        <w:adjustRightInd/>
        <w:spacing w:line="540" w:lineRule="exact"/>
        <w:ind w:left="0" w:right="0" w:firstLineChars="200" w:firstLine="640"/>
        <w:jc w:val="both"/>
        <w:textAlignment w:val="auto"/>
        <w:rPr>
          <w:rFonts w:ascii="黑体" w:eastAsia="黑体" w:cs="Times New Roman"/>
          <w:kern w:val="0"/>
          <w:sz w:val="32"/>
          <w:szCs w:val="32"/>
        </w:rPr>
      </w:pPr>
      <w:r>
        <w:rPr>
          <w:rFonts w:ascii="黑体" w:eastAsia="黑体" w:cs="Times New Roman"/>
          <w:kern w:val="0"/>
          <w:sz w:val="32"/>
          <w:szCs w:val="32"/>
        </w:rPr>
        <w:t>四、绩效评价工作情况</w:t>
      </w:r>
    </w:p>
    <w:p>
      <w:pPr>
        <w:keepNext w:val="0"/>
        <w:keepLines w:val="0"/>
        <w:pageBreakBefore w:val="0"/>
        <w:widowControl/>
        <w:kinsoku/>
        <w:wordWrap/>
        <w:overflowPunct/>
        <w:topLinePunct w:val="0"/>
        <w:autoSpaceDE/>
        <w:autoSpaceDN/>
        <w:adjustRightInd/>
        <w:spacing w:line="540" w:lineRule="exact"/>
        <w:ind w:left="0" w:firstLineChars="200" w:firstLine="640"/>
        <w:rPr>
          <w:rFonts w:ascii="Times New Roman" w:eastAsia="黑体" w:cs="Times New Roman" w:hAnsi="Times New Roman"/>
          <w:color w:val="222222"/>
          <w:kern w:val="0"/>
          <w:sz w:val="32"/>
          <w:szCs w:val="32"/>
        </w:rPr>
      </w:pPr>
      <w:r>
        <w:rPr>
          <w:rFonts w:ascii="仿宋_GB2312" w:eastAsia="仿宋_GB2312" w:hint="eastAsia"/>
          <w:sz w:val="32"/>
          <w:szCs w:val="32"/>
        </w:rPr>
        <w:t>在评价过程中，结合我</w:t>
      </w:r>
      <w:r>
        <w:rPr>
          <w:rFonts w:ascii="仿宋_GB2312" w:eastAsia="仿宋_GB2312" w:hint="eastAsia"/>
          <w:sz w:val="32"/>
          <w:szCs w:val="32"/>
          <w:lang w:eastAsia="zh-CN"/>
        </w:rPr>
        <w:t>局</w:t>
      </w:r>
      <w:r>
        <w:rPr>
          <w:rFonts w:ascii="仿宋_GB2312" w:eastAsia="仿宋_GB2312" w:hint="eastAsia"/>
          <w:sz w:val="32"/>
          <w:szCs w:val="32"/>
        </w:rPr>
        <w:t>的实际情况，实施了包括听取情况介绍、查看文件资料、检查财务会计资料、调查问卷等形式，进行了综合评价。</w:t>
      </w:r>
    </w:p>
    <w:p>
      <w:pPr>
        <w:keepNext w:val="0"/>
        <w:keepLines w:val="0"/>
        <w:pageBreakBefore w:val="0"/>
        <w:widowControl w:val="0"/>
        <w:kinsoku/>
        <w:wordWrap/>
        <w:overflowPunct/>
        <w:topLinePunct w:val="0"/>
        <w:autoSpaceDE/>
        <w:autoSpaceDN/>
        <w:bidi w:val="0"/>
        <w:adjustRightInd/>
        <w:spacing w:line="540" w:lineRule="exact"/>
        <w:ind w:left="0" w:right="0" w:firstLineChars="200" w:firstLine="640"/>
        <w:jc w:val="both"/>
        <w:textAlignment w:val="auto"/>
        <w:rPr>
          <w:rFonts w:ascii="黑体" w:eastAsia="黑体" w:cs="Times New Roman"/>
          <w:kern w:val="0"/>
          <w:sz w:val="32"/>
          <w:szCs w:val="32"/>
        </w:rPr>
      </w:pPr>
      <w:r>
        <w:rPr>
          <w:rFonts w:ascii="黑体" w:eastAsia="黑体" w:cs="Times New Roman"/>
          <w:kern w:val="0"/>
          <w:sz w:val="32"/>
          <w:szCs w:val="32"/>
        </w:rPr>
        <w:t>五、综合评价结果</w:t>
      </w:r>
    </w:p>
    <w:p>
      <w:pPr>
        <w:keepNext w:val="0"/>
        <w:keepLines w:val="0"/>
        <w:pageBreakBefore w:val="0"/>
        <w:widowControl w:val="0"/>
        <w:kinsoku/>
        <w:wordWrap/>
        <w:overflowPunct/>
        <w:topLinePunct w:val="0"/>
        <w:autoSpaceDE/>
        <w:autoSpaceDN/>
        <w:adjustRightInd/>
        <w:spacing w:line="540" w:lineRule="exact"/>
        <w:ind w:left="0" w:firstLineChars="200" w:firstLine="640"/>
        <w:rPr>
          <w:rFonts w:ascii="仿宋_GB2312" w:eastAsia="仿宋_GB2312" w:hint="eastAsia"/>
          <w:sz w:val="32"/>
          <w:szCs w:val="32"/>
        </w:rPr>
      </w:pPr>
      <w:r>
        <w:rPr>
          <w:rFonts w:ascii="仿宋_GB2312" w:eastAsia="仿宋_GB2312" w:hint="eastAsia"/>
          <w:sz w:val="32"/>
          <w:szCs w:val="32"/>
        </w:rPr>
        <w:t>经综合考评，</w:t>
      </w:r>
      <w:r>
        <w:rPr>
          <w:rFonts w:eastAsia="仿宋_GB2312"/>
          <w:sz w:val="32"/>
          <w:szCs w:val="32"/>
        </w:rPr>
        <w:t>2020</w:t>
      </w:r>
      <w:r>
        <w:rPr>
          <w:rFonts w:ascii="仿宋_GB2312" w:eastAsia="仿宋_GB2312" w:hint="eastAsia"/>
          <w:sz w:val="32"/>
          <w:szCs w:val="32"/>
        </w:rPr>
        <w:t>年桃源</w:t>
      </w:r>
      <w:r>
        <w:rPr>
          <w:rFonts w:ascii="仿宋_GB2312" w:eastAsia="仿宋_GB2312"/>
          <w:sz w:val="32"/>
          <w:szCs w:val="32"/>
        </w:rPr>
        <w:t>应急管理局</w:t>
      </w:r>
      <w:r>
        <w:rPr>
          <w:rFonts w:ascii="仿宋_GB2312" w:eastAsia="仿宋_GB2312" w:hint="eastAsia"/>
          <w:sz w:val="32"/>
          <w:szCs w:val="32"/>
        </w:rPr>
        <w:t>整体支出绩效评价</w:t>
      </w:r>
      <w:r>
        <w:rPr>
          <w:rFonts w:eastAsia="仿宋_GB2312"/>
          <w:sz w:val="32"/>
          <w:szCs w:val="32"/>
        </w:rPr>
        <w:t>9</w:t>
      </w:r>
      <w:r>
        <w:rPr>
          <w:rFonts w:eastAsia="仿宋_GB2312" w:hint="eastAsia"/>
          <w:sz w:val="32"/>
          <w:szCs w:val="32"/>
          <w:lang w:val="en-US" w:eastAsia="zh-CN"/>
        </w:rPr>
        <w:t>6</w:t>
      </w:r>
      <w:r>
        <w:rPr>
          <w:rFonts w:ascii="仿宋_GB2312" w:eastAsia="仿宋_GB2312" w:hint="eastAsia"/>
          <w:sz w:val="32"/>
          <w:szCs w:val="32"/>
        </w:rPr>
        <w:t>分，评价等级为：优。</w:t>
      </w:r>
    </w:p>
    <w:p>
      <w:pPr>
        <w:ind w:left="0" w:firstLineChars="200" w:firstLine="640"/>
        <w:rPr>
          <w:rFonts w:ascii="黑体" w:eastAsia="黑体" w:cs="Times New Roman"/>
          <w:kern w:val="0"/>
          <w:sz w:val="32"/>
          <w:szCs w:val="32"/>
        </w:rPr>
      </w:pPr>
      <w:r>
        <w:rPr>
          <w:rFonts w:ascii="黑体" w:eastAsia="黑体" w:cs="Times New Roman"/>
          <w:kern w:val="0"/>
          <w:sz w:val="32"/>
          <w:szCs w:val="32"/>
        </w:rPr>
        <w:t>六、部门整体支出绩效情况</w:t>
      </w:r>
    </w:p>
    <w:p>
      <w:pPr>
        <w:ind w:firstLineChars="250" w:firstLine="800"/>
        <w:rPr>
          <w:rFonts w:ascii="仿宋" w:eastAsia="仿宋"/>
          <w:color w:val="000000"/>
          <w:sz w:val="32"/>
          <w:szCs w:val="32"/>
        </w:rPr>
      </w:pPr>
      <w:r>
        <w:rPr>
          <w:rFonts w:ascii="仿宋" w:eastAsia="仿宋"/>
          <w:color w:val="000000"/>
          <w:sz w:val="32"/>
          <w:szCs w:val="32"/>
        </w:rPr>
        <w:t>(</w:t>
      </w:r>
      <w:r>
        <w:rPr>
          <w:rFonts w:ascii="仿宋" w:eastAsia="仿宋" w:hint="eastAsia"/>
          <w:color w:val="000000"/>
          <w:sz w:val="32"/>
          <w:szCs w:val="32"/>
        </w:rPr>
        <w:t>1</w:t>
      </w:r>
      <w:r>
        <w:rPr>
          <w:rFonts w:ascii="仿宋" w:eastAsia="仿宋"/>
          <w:color w:val="000000"/>
          <w:sz w:val="32"/>
          <w:szCs w:val="32"/>
        </w:rPr>
        <w:t>)</w:t>
      </w:r>
      <w:r>
        <w:rPr>
          <w:rFonts w:ascii="仿宋" w:eastAsia="仿宋" w:hint="eastAsia"/>
          <w:color w:val="000000"/>
          <w:sz w:val="32"/>
          <w:szCs w:val="32"/>
        </w:rPr>
        <w:t>、三年整治行动扎实推进</w:t>
      </w:r>
    </w:p>
    <w:p>
      <w:pPr>
        <w:spacing w:line="560" w:lineRule="exact"/>
        <w:ind w:firstLine="630"/>
        <w:rPr>
          <w:rFonts w:ascii="仿宋" w:eastAsia="仿宋" w:hint="eastAsia"/>
          <w:color w:val="333333"/>
          <w:sz w:val="32"/>
          <w:szCs w:val="32"/>
        </w:rPr>
      </w:pPr>
      <w:r>
        <w:rPr>
          <w:rFonts w:ascii="仿宋" w:eastAsia="仿宋" w:hint="eastAsia"/>
          <w:sz w:val="32"/>
          <w:szCs w:val="32"/>
        </w:rPr>
        <w:t>我县制定了“1+2+8”的三年行动总体实施方案</w:t>
      </w:r>
      <w:r>
        <w:rPr>
          <w:rFonts w:ascii="仿宋" w:eastAsia="仿宋"/>
          <w:sz w:val="32"/>
          <w:szCs w:val="32"/>
        </w:rPr>
        <w:t>,</w:t>
      </w:r>
      <w:r>
        <w:rPr>
          <w:rFonts w:ascii="仿宋" w:eastAsia="仿宋" w:hint="eastAsia"/>
          <w:sz w:val="32"/>
          <w:szCs w:val="32"/>
        </w:rPr>
        <w:t>县高新区聘请第三方公司对园区所有企业进行了一次全面体检，排查出问题隐患536个，整改到位435个；县应急局开展危险化学品专项整治，排查出各行业涉及储存、使用和经营危险化学品单位289家，涉及危险化学品约150种，排查出隐患31处，全部已整改到位。</w:t>
      </w:r>
      <w:r>
        <w:rPr>
          <w:rFonts w:ascii="仿宋" w:eastAsia="仿宋"/>
          <w:sz w:val="32"/>
          <w:szCs w:val="32"/>
        </w:rPr>
        <w:t>全县累计出动执法人员84251人次，检查生产经营单位检查27718家次，立案调查4316起，经济处罚1554.32万元，责令停产197家。</w:t>
      </w:r>
    </w:p>
    <w:p>
      <w:pPr>
        <w:spacing w:line="560" w:lineRule="exact"/>
        <w:ind w:firstLineChars="200" w:firstLine="640"/>
        <w:contextualSpacing/>
        <w:rPr>
          <w:rFonts w:ascii="仿宋" w:eastAsia="仿宋" w:hint="eastAsia"/>
          <w:color w:val="000000"/>
          <w:sz w:val="32"/>
          <w:szCs w:val="32"/>
        </w:rPr>
      </w:pPr>
      <w:r>
        <w:rPr>
          <w:rFonts w:ascii="仿宋" w:eastAsia="仿宋"/>
          <w:color w:val="000000"/>
          <w:sz w:val="32"/>
          <w:szCs w:val="32"/>
        </w:rPr>
        <w:t>(</w:t>
      </w:r>
      <w:r>
        <w:rPr>
          <w:rFonts w:ascii="仿宋" w:eastAsia="仿宋" w:hint="eastAsia"/>
          <w:color w:val="000000"/>
          <w:sz w:val="32"/>
          <w:szCs w:val="32"/>
        </w:rPr>
        <w:t>2</w:t>
      </w:r>
      <w:r>
        <w:rPr>
          <w:rFonts w:ascii="仿宋" w:eastAsia="仿宋"/>
          <w:color w:val="000000"/>
          <w:sz w:val="32"/>
          <w:szCs w:val="32"/>
        </w:rPr>
        <w:t>)</w:t>
      </w:r>
      <w:r>
        <w:rPr>
          <w:rFonts w:ascii="仿宋" w:eastAsia="仿宋" w:hint="eastAsia"/>
          <w:color w:val="000000"/>
          <w:sz w:val="32"/>
          <w:szCs w:val="32"/>
        </w:rPr>
        <w:t>、马路市场整治如期完成</w:t>
      </w:r>
    </w:p>
    <w:p>
      <w:pPr>
        <w:spacing w:line="560" w:lineRule="exact"/>
        <w:ind w:firstLineChars="200" w:firstLine="640"/>
        <w:contextualSpacing/>
        <w:rPr>
          <w:rFonts w:ascii="仿宋" w:eastAsia="仿宋" w:hint="eastAsia"/>
          <w:sz w:val="32"/>
          <w:szCs w:val="32"/>
        </w:rPr>
      </w:pPr>
      <w:r>
        <w:rPr>
          <w:rFonts w:ascii="仿宋" w:eastAsia="仿宋" w:hint="eastAsia"/>
          <w:sz w:val="32"/>
          <w:szCs w:val="32"/>
        </w:rPr>
        <w:t>我县的马路市场整治工作经验在《安全与防灾》杂志第9期上被专题推介，全县40处马路市场整治任务按期完成，共取缔2处，关闭2处，新改建7处，12处简易搬迁,12处就近转移，5处整顿入市。</w:t>
      </w:r>
    </w:p>
    <w:p>
      <w:pPr>
        <w:spacing w:line="560" w:lineRule="exact"/>
        <w:ind w:left="0" w:firstLineChars="200" w:firstLine="640"/>
        <w:contextualSpacing/>
        <w:rPr>
          <w:rFonts w:ascii="仿宋" w:eastAsia="仿宋" w:hint="eastAsia"/>
          <w:sz w:val="32"/>
          <w:szCs w:val="32"/>
        </w:rPr>
      </w:pPr>
      <w:r>
        <w:rPr>
          <w:rFonts w:ascii="仿宋" w:eastAsia="仿宋"/>
          <w:sz w:val="32"/>
          <w:szCs w:val="32"/>
        </w:rPr>
        <w:t>(3)</w:t>
      </w:r>
      <w:r>
        <w:rPr>
          <w:rFonts w:ascii="仿宋" w:eastAsia="仿宋" w:hint="eastAsia"/>
          <w:sz w:val="32"/>
          <w:szCs w:val="32"/>
        </w:rPr>
        <w:t>、风险隐患排查整治到位</w:t>
      </w:r>
    </w:p>
    <w:p>
      <w:pPr>
        <w:spacing w:line="560" w:lineRule="exact"/>
        <w:ind w:firstLineChars="200" w:firstLine="640"/>
        <w:contextualSpacing/>
        <w:rPr>
          <w:rFonts w:ascii="黑体" w:eastAsia="黑体" w:cs="Times New Roman"/>
          <w:kern w:val="0"/>
          <w:sz w:val="32"/>
          <w:szCs w:val="32"/>
        </w:rPr>
      </w:pPr>
      <w:r>
        <w:rPr>
          <w:rFonts w:ascii="仿宋" w:eastAsia="仿宋" w:hint="eastAsia"/>
          <w:sz w:val="32"/>
          <w:szCs w:val="32"/>
        </w:rPr>
        <w:t>今年以来，县安委办严格按照重大事故隐患“一单四制”管理规定，共交办隐患32个，30处已完成整改，整改率93.75%。市安委办对我县曝光和交办重点隐患23个，21处已完成整改，整改率91.3%。三年整治行动开展以来，县整治办建立起问题隐患和制度措施“两个清单”并保持动态更新，全县排查发现重大问题隐患31处，19处已完成整改，整改率61.29%</w:t>
      </w:r>
      <w:r>
        <w:rPr>
          <w:rFonts w:ascii="仿宋" w:eastAsia="仿宋"/>
          <w:sz w:val="32"/>
          <w:szCs w:val="32"/>
        </w:rPr>
        <w:t>。</w:t>
      </w:r>
    </w:p>
    <w:p>
      <w:pPr>
        <w:spacing w:line="560" w:lineRule="exact"/>
        <w:ind w:firstLineChars="200" w:firstLine="640"/>
        <w:rPr>
          <w:rFonts w:eastAsia="仿宋"/>
          <w:sz w:val="32"/>
          <w:szCs w:val="32"/>
        </w:rPr>
      </w:pPr>
      <w:r>
        <w:rPr>
          <w:rFonts w:eastAsia="仿宋"/>
          <w:color w:val="000000"/>
          <w:sz w:val="32"/>
          <w:szCs w:val="32"/>
        </w:rPr>
        <w:t>截至目前，我县发</w:t>
      </w:r>
      <w:r>
        <w:rPr>
          <w:rFonts w:eastAsia="仿宋"/>
          <w:sz w:val="32"/>
          <w:szCs w:val="32"/>
        </w:rPr>
        <w:t>生一般安全生产事故7起，死亡6人，经济损失200万元，与去年同期相比分别下降50%、14.28%、33.77%,未发生较大及以上安全生产事故，在全市范围内事故防控情况较好，</w:t>
      </w:r>
      <w:r>
        <w:rPr>
          <w:rFonts w:eastAsia="仿宋"/>
          <w:color w:val="000000"/>
          <w:sz w:val="32"/>
          <w:szCs w:val="32"/>
        </w:rPr>
        <w:t>较好地完成了年度工作目标。</w:t>
      </w:r>
    </w:p>
    <w:p>
      <w:pPr>
        <w:widowControl/>
        <w:spacing w:line="640" w:lineRule="exact"/>
        <w:ind w:left="0" w:firstLineChars="200" w:firstLine="640"/>
        <w:rPr>
          <w:rFonts w:ascii="黑体" w:eastAsia="黑体" w:cs="Times New Roman"/>
          <w:kern w:val="0"/>
          <w:sz w:val="32"/>
          <w:szCs w:val="32"/>
        </w:rPr>
      </w:pPr>
      <w:r>
        <w:rPr>
          <w:rFonts w:ascii="黑体" w:eastAsia="黑体" w:cs="Times New Roman"/>
          <w:kern w:val="0"/>
          <w:sz w:val="32"/>
          <w:szCs w:val="32"/>
        </w:rPr>
        <w:t>七、存在的主要问题及原因分析</w:t>
      </w:r>
    </w:p>
    <w:p>
      <w:pPr>
        <w:numPr>
          <w:ilvl w:val="0"/>
          <w:numId w:val="3"/>
        </w:numPr>
        <w:spacing w:line="560" w:lineRule="exact"/>
        <w:rPr>
          <w:rFonts w:eastAsia="仿宋"/>
          <w:color w:val="000000"/>
          <w:sz w:val="32"/>
          <w:szCs w:val="32"/>
        </w:rPr>
      </w:pPr>
      <w:r>
        <w:rPr>
          <w:rFonts w:eastAsia="仿宋"/>
          <w:color w:val="000000"/>
          <w:sz w:val="32"/>
          <w:szCs w:val="32"/>
        </w:rPr>
        <w:t>由于机构改革，各乡镇工作人员调动变化大，使各乡镇工作难度大、执法力度不够。</w:t>
      </w:r>
    </w:p>
    <w:p>
      <w:pPr>
        <w:spacing w:line="560" w:lineRule="exact"/>
        <w:ind w:left="640" w:firstLine="0"/>
        <w:rPr>
          <w:rFonts w:eastAsia="仿宋"/>
          <w:sz w:val="32"/>
          <w:szCs w:val="32"/>
        </w:rPr>
      </w:pPr>
      <w:r>
        <w:rPr>
          <w:rFonts w:eastAsia="仿宋"/>
          <w:sz w:val="32"/>
          <w:szCs w:val="32"/>
        </w:rPr>
        <w:t>2、乡镇工作人员业务不熟，救灾物资使用等相关工作有待加强。灾情报送、工作人员加强组织救灾工作人员业务培训。</w:t>
      </w:r>
    </w:p>
    <w:p>
      <w:pPr>
        <w:widowControl/>
        <w:spacing w:line="640" w:lineRule="exact"/>
        <w:ind w:left="0" w:firstLineChars="200" w:firstLine="640"/>
        <w:rPr>
          <w:rFonts w:ascii="黑体" w:eastAsia="黑体" w:cs="Times New Roman"/>
          <w:kern w:val="0"/>
          <w:sz w:val="32"/>
          <w:szCs w:val="32"/>
        </w:rPr>
      </w:pPr>
      <w:r>
        <w:rPr>
          <w:rFonts w:ascii="黑体" w:eastAsia="黑体" w:cs="Times New Roman"/>
          <w:kern w:val="0"/>
          <w:sz w:val="32"/>
          <w:szCs w:val="32"/>
        </w:rPr>
        <w:t>八、有关建议</w:t>
      </w:r>
    </w:p>
    <w:p>
      <w:pPr>
        <w:numPr>
          <w:ilvl w:val="0"/>
          <w:numId w:val="4"/>
        </w:numPr>
        <w:spacing w:line="560" w:lineRule="exact"/>
        <w:rPr>
          <w:rFonts w:eastAsia="仿宋"/>
          <w:sz w:val="32"/>
          <w:szCs w:val="32"/>
        </w:rPr>
      </w:pPr>
      <w:r>
        <w:rPr>
          <w:rFonts w:eastAsia="仿宋"/>
          <w:sz w:val="32"/>
          <w:szCs w:val="32"/>
        </w:rPr>
        <w:t>有效改善乡镇工作人员配备及工作经费，为长期工作加大提高执法力度和工作提供保障。</w:t>
      </w:r>
    </w:p>
    <w:p>
      <w:pPr>
        <w:numPr>
          <w:ilvl w:val="0"/>
          <w:numId w:val="4"/>
        </w:numPr>
        <w:spacing w:line="560" w:lineRule="exact"/>
        <w:rPr>
          <w:rFonts w:eastAsia="仿宋"/>
          <w:sz w:val="32"/>
          <w:szCs w:val="32"/>
        </w:rPr>
      </w:pPr>
      <w:r>
        <w:rPr>
          <w:rFonts w:eastAsia="仿宋"/>
          <w:sz w:val="32"/>
          <w:szCs w:val="32"/>
        </w:rPr>
        <w:t>加强组织救灾工作人员业务培训，全面提高基层救灾工作人员业务水平。</w:t>
      </w:r>
    </w:p>
    <w:p>
      <w:pPr>
        <w:widowControl/>
        <w:spacing w:line="560" w:lineRule="exact"/>
        <w:ind w:firstLine="640"/>
        <w:rPr>
          <w:rFonts w:ascii="Times New Roman" w:eastAsia="黑体" w:cs="Times New Roman" w:hAnsi="Times New Roman"/>
          <w:sz w:val="32"/>
          <w:szCs w:val="32"/>
        </w:rPr>
      </w:pPr>
    </w:p>
    <w:tbl>
      <w:tblPr>
        <w:tblpPr w:leftFromText="180" w:rightFromText="180" w:vertAnchor="text" w:horzAnchor="page" w:tblpXSpec="center" w:tblpY="-58"/>
        <w:tblOverlap w:val="never"/>
        <w:tblW w:w="9429" w:type="dxa"/>
        <w:tblBorders>
          <w:top w:val="none" w:sz="0" w:space="0" w:color="auto"/>
          <w:left w:val="none" w:sz="0" w:space="0" w:color="auto"/>
          <w:bottom w:val="single" w:sz="4" w:space="0" w:color="000000"/>
          <w:right w:val="none" w:sz="0" w:space="0" w:color="auto"/>
          <w:insideV w:val="single" w:sz="4" w:space="0" w:color="000000"/>
        </w:tblBorders>
        <w:tblLayout w:type="fixed"/>
        <w:tblCellMar>
          <w:top w:w="0" w:type="dxa"/>
          <w:left w:w="0" w:type="dxa"/>
          <w:bottom w:w="0" w:type="dxa"/>
          <w:right w:w="0" w:type="dxa"/>
        </w:tblCellMar>
      </w:tblPr>
      <w:tblGrid>
        <w:gridCol w:w="561"/>
        <w:gridCol w:w="585"/>
        <w:gridCol w:w="652"/>
        <w:gridCol w:w="365"/>
        <w:gridCol w:w="3373"/>
        <w:gridCol w:w="3237"/>
        <w:gridCol w:w="656"/>
      </w:tblGrid>
      <w:tr>
        <w:trPr>
          <w:trHeight w:val="658"/>
          <w:tblHeader/>
        </w:trPr>
        <w:tc>
          <w:tcPr>
            <w:tcW w:w="9429" w:type="dxa"/>
            <w:gridSpan w:val="7"/>
            <w:tcBorders>
              <w:bottom w:val="single" w:sz="4" w:space="0" w:color="auto"/>
            </w:tcBorders>
            <w:noWrap/>
            <w:tcMar>
              <w:top w:w="15" w:type="dxa"/>
              <w:left w:w="15" w:type="dxa"/>
              <w:right w:w="15" w:type="dxa"/>
            </w:tcMar>
            <w:vAlign w:val="center"/>
          </w:tcPr>
          <w:p>
            <w:pPr>
              <w:widowControl/>
              <w:spacing w:beforeLines="50" w:before="156" w:afterLines="50" w:after="156"/>
              <w:jc w:val="center"/>
              <w:rPr>
                <w:rFonts w:ascii="Times New Roman" w:eastAsia="黑体" w:cs="Times New Roman" w:hAnsi="Times New Roman" w:hint="eastAsia"/>
                <w:bCs/>
                <w:kern w:val="0"/>
                <w:sz w:val="24"/>
                <w:szCs w:val="24"/>
              </w:rPr>
            </w:pPr>
            <w:r>
              <w:rPr>
                <w:rFonts w:ascii="Times New Roman" w:eastAsia="方正小标宋_GBK" w:cs="Times New Roman" w:hAnsi="Times New Roman"/>
                <w:kern w:val="0"/>
                <w:sz w:val="36"/>
                <w:szCs w:val="36"/>
              </w:rPr>
              <w:t>部门整体支出绩效评价指标表</w:t>
            </w:r>
          </w:p>
        </w:tc>
      </w:tr>
      <w:tr>
        <w:trPr>
          <w:trHeight w:val="741"/>
          <w:tblHeader/>
        </w:trPr>
        <w:tc>
          <w:tcPr>
            <w:tcW w:w="5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一级</w:t>
              <w:br/>
              <w:t>指标</w:t>
            </w:r>
          </w:p>
        </w:tc>
        <w:tc>
          <w:tcPr>
            <w:tcW w:w="5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二级</w:t>
              <w:br/>
              <w:t>指标</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bCs/>
                <w:kern w:val="0"/>
                <w:sz w:val="24"/>
                <w:szCs w:val="24"/>
              </w:rPr>
            </w:pPr>
            <w:r>
              <w:rPr>
                <w:rFonts w:ascii="Times New Roman" w:eastAsia="黑体" w:cs="Times New Roman" w:hAnsi="Times New Roman"/>
                <w:bCs/>
                <w:kern w:val="0"/>
                <w:sz w:val="24"/>
                <w:szCs w:val="24"/>
              </w:rPr>
              <w:t>三级</w:t>
            </w:r>
          </w:p>
          <w:p>
            <w:pPr>
              <w:widowControl/>
              <w:spacing w:line="300" w:lineRule="exact"/>
              <w:jc w:val="center"/>
              <w:textAlignment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指标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分值</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指标解释</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bCs/>
                <w:sz w:val="24"/>
                <w:szCs w:val="24"/>
              </w:rPr>
            </w:pPr>
            <w:r>
              <w:rPr>
                <w:rFonts w:ascii="Times New Roman" w:eastAsia="黑体" w:cs="Times New Roman" w:hAnsi="Times New Roman"/>
                <w:bCs/>
                <w:kern w:val="0"/>
                <w:sz w:val="24"/>
                <w:szCs w:val="24"/>
              </w:rPr>
              <w:t>评分标准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黑体" w:cs="Times New Roman" w:hAnsi="Times New Roman" w:hint="eastAsia"/>
                <w:bCs/>
                <w:kern w:val="0"/>
                <w:sz w:val="24"/>
                <w:szCs w:val="24"/>
              </w:rPr>
            </w:pPr>
            <w:r>
              <w:rPr>
                <w:rFonts w:ascii="Times New Roman" w:eastAsia="黑体" w:cs="Times New Roman" w:hAnsi="Times New Roman" w:hint="eastAsia"/>
                <w:bCs/>
                <w:kern w:val="0"/>
                <w:sz w:val="24"/>
                <w:szCs w:val="24"/>
              </w:rPr>
              <w:t>自评</w:t>
            </w:r>
          </w:p>
          <w:p>
            <w:pPr>
              <w:widowControl/>
              <w:spacing w:line="300" w:lineRule="exact"/>
              <w:jc w:val="center"/>
              <w:textAlignment w:val="center"/>
              <w:rPr>
                <w:rFonts w:ascii="Times New Roman" w:eastAsia="黑体" w:cs="Times New Roman" w:hAnsi="Times New Roman"/>
                <w:bCs/>
                <w:kern w:val="0"/>
                <w:sz w:val="24"/>
                <w:szCs w:val="24"/>
              </w:rPr>
            </w:pPr>
            <w:r>
              <w:rPr>
                <w:rFonts w:ascii="Times New Roman" w:eastAsia="黑体" w:cs="Times New Roman" w:hAnsi="Times New Roman" w:hint="eastAsia"/>
                <w:bCs/>
                <w:kern w:val="0"/>
                <w:sz w:val="24"/>
                <w:szCs w:val="24"/>
              </w:rPr>
              <w:t>得分</w:t>
            </w:r>
          </w:p>
        </w:tc>
      </w:tr>
      <w:tr>
        <w:trPr>
          <w:trHeight w:val="2154"/>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投   入</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目标</w:t>
              <w:br/>
              <w:t>设定</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①符合国家法律法规、国民经济和社会发展总体规划，得1分；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②符合部门职责，得1分；</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③符合部门制定的中长期实施规划，得3分。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293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7</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①将部门整体的绩效目标细化分解为具体的工作任务，得1分；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②通过清晰、可衡量的指标值予以体现，得2分；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③与部门年度的任务数或计划数相对应，得2分；</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④与本年度部门预算资金相匹配，得2分。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7</w:t>
            </w:r>
          </w:p>
        </w:tc>
      </w:tr>
      <w:tr>
        <w:trPr>
          <w:trHeight w:val="2927"/>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w:t>
              <w:br/>
              <w:t>配置</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3</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在职人员控制率=（在职人员数/编制数）×100%。</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在职人员数：部门（单位）实际在职人数，以财政部</w:t>
            </w:r>
            <w:r>
              <w:rPr>
                <w:rFonts w:ascii="Times New Roman" w:eastAsia="仿宋" w:cs="Times New Roman" w:hAnsi="Times New Roman" w:hint="eastAsia"/>
                <w:kern w:val="0"/>
                <w:sz w:val="24"/>
                <w:szCs w:val="24"/>
              </w:rPr>
              <w:t>门</w:t>
            </w:r>
            <w:r>
              <w:rPr>
                <w:rFonts w:ascii="Times New Roman" w:eastAsia="仿宋" w:cs="Times New Roman" w:hAnsi="Times New Roman"/>
                <w:kern w:val="0"/>
                <w:sz w:val="24"/>
                <w:szCs w:val="24"/>
              </w:rPr>
              <w:t>确定的部门决算编制口径为准。扣掉编制部门和劳动部门批复同意的临聘人员。</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在职人员控制率≤100%，得3分；</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每超过一个百分点扣0.5分，扣完为止。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3</w:t>
            </w:r>
          </w:p>
        </w:tc>
      </w:tr>
      <w:tr>
        <w:trPr>
          <w:trHeight w:val="2484"/>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“三公经费”变动率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“三公经费”变动率=[（本年度“三公经费”预算数-上年度“三公经费”预算数）/上年度“三公经费”预算数]×100%。</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“三公经费”：年度预算安排的因公出国（境）费、公务车辆购置及运行费和公务招待费。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“三公经费”变动率≤0，得5分；</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每超过一个百分点扣0.5分，扣完为止。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2875"/>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重点支出安排率=（重点项目支出/项目总支出）×100%。</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重点支出安排率≥90%，得5分；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80%（含）-90%，得4分；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70%（含）-80%，得3分；</w:t>
            </w:r>
          </w:p>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60%（含）-70%，得2分；</w:t>
            </w:r>
          </w:p>
          <w:p>
            <w:pPr>
              <w:widowControl/>
              <w:spacing w:line="28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＜60%，得0分。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28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660"/>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过   程</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w:t>
              <w:br/>
              <w:t>执行</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4</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预算完成率=（上年结转+年初预算+本年追加-年末结余）/（上年结转+年初预算+本年追加）×100%。</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预算完成率≥95%，得4分；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每降低5%，扣1分，扣完为止。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4</w:t>
            </w:r>
          </w:p>
        </w:tc>
      </w:tr>
      <w:tr>
        <w:trPr>
          <w:trHeight w:val="96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预算调整率=（本年追加预算/年初预算）×100%。</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预算调整率≤5%，得2分；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5%-10%（含），得1.5分；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10%-15%（含），得1分；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15%-20%（含），得0.5分；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＞20%，得0分。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left="0"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72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楼堂馆所面积控制率=实际建设面积/批准建设面积×100% 。</w:t>
              <w:br/>
              <w:t>该指标以20××年完工的新建楼堂馆所为评价内容。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楼堂馆所面积控制率≤100%，得2分；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每超出5%扣1分，扣完为止。</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2309"/>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楼堂馆所投资预算控制率=实际投资金额/批准投资金额×100% 。</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该指标以20</w:t>
            </w:r>
            <w:r>
              <w:rPr>
                <w:rFonts w:ascii="Times New Roman" w:eastAsia="仿宋" w:cs="Times New Roman" w:hAnsi="Times New Roman" w:hint="eastAsia"/>
                <w:kern w:val="0"/>
                <w:sz w:val="24"/>
                <w:szCs w:val="24"/>
              </w:rPr>
              <w:t>19</w:t>
            </w:r>
            <w:r>
              <w:rPr>
                <w:rFonts w:ascii="Times New Roman" w:eastAsia="仿宋" w:cs="Times New Roman" w:hAnsi="Times New Roman"/>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楼堂馆所面积控制率≤100%，得2分；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每超出5%扣1分，扣完为止。</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1591"/>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公用经费控制率=（实际支出公用经费总额/预算安排公用经费总额）×100%。</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公用经费控制率≤100%，得2分；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每超过5%，扣1分，扣完为止。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1578"/>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“三公经费”控制率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“三公经费”控制率=（“三公经费”实际支出数/“三公经费”预算安排数）×100%。</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“三公经费”控制率≤100%，得2分；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每超过5%，扣1分，扣完为止。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2528"/>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政府采购执行率=（实际政府采购金额/政府采购预算数）×100%；</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 xml:space="preserve">政府采购预算：采购机关根据事业发展计划和行政任务编制的、并经过规定程序批准的年度政府采购计划。 </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政府采购执行率=100%，得2分；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每超过（降低）5%，扣1分，扣完为止。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31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预算</w:t>
              <w:br/>
              <w:t>管理</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①是否已制定或具有预算资金管理办法、内部财务管理制度、会计核算制度、本部门厉行节约制度等管理制度；</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②相关管理制度是否合法、合规、完整；</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③相关管理制度是否得到有效执行。</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每发现一类不合规问题，扣1分，扣完为止。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3468"/>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资金使用合规性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①是否符合国家财经法规和财务管理制度规定以及有关专项资金管理办法的规定；</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②资金的拨付是否有完整的审批程序和手续；</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③项目的重大开支是否经过评估论证；</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④是否符合部门预算批复的用途；</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⑤是否存在截留、挤占、挪用、虚列支出等情况。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每发现一类不合规问题，扣1分，扣完为止。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2243"/>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①是否按规定内容、规定时限公开预决算信息；</w:t>
            </w:r>
          </w:p>
          <w:p>
            <w:pPr>
              <w:widowControl/>
              <w:spacing w:line="300" w:lineRule="exact"/>
              <w:ind w:firstLineChars="100" w:firstLine="240"/>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②基础数据信息和会计信息资料是否真实、完整、准确。预决算信息是指与部门预算、执行、决算、监督、绩效等管理相关的信息。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①按规定内容、规定时限公开预决算信息，得1分；</w:t>
            </w:r>
          </w:p>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②基础数据信息和会计信息资料真实、完整、准确，得1分。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每发现一类不合规问题，扣1分，扣完为止。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w:t>
            </w:r>
          </w:p>
        </w:tc>
      </w:tr>
      <w:tr>
        <w:trPr>
          <w:trHeight w:val="72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资产</w:t>
              <w:br/>
              <w:t>管理</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①已制定或具有资产管理制度，相关资金管理制度合法、合规、完整。得0.5分；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 xml:space="preserve"> ②相关资产管理制度得到有效执行，得0.5分。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w:t>
            </w:r>
          </w:p>
        </w:tc>
      </w:tr>
      <w:tr>
        <w:trPr>
          <w:trHeight w:val="1468"/>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①资产保存完整、配置合理、处置规范，得0.5分；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②资产账务管理合规，帐实相符，得0.5分；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w:t>
            </w:r>
          </w:p>
        </w:tc>
      </w:tr>
      <w:tr>
        <w:trPr>
          <w:trHeight w:val="2261"/>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实际在用固定资产总额与所有固定资产总额的比率，用以反映和考核部门（单位）固定资产使用效率程度。</w:t>
              <w:br/>
              <w:t>固定资产利用率=（实际在用固定资产总额/所有固定资产总额）×100%。</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固定资产利用率=100%，得1分；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每低于1%，扣0.1分，扣完为止。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w:t>
            </w:r>
          </w:p>
        </w:tc>
      </w:tr>
      <w:tr>
        <w:trPr>
          <w:trHeight w:val="90"/>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产   出</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职责</w:t>
              <w:br/>
              <w:t>履行</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个性化指标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17</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rPr>
                <w:rFonts w:ascii="Times New Roman" w:eastAsia="仿宋" w:cs="Times New Roman" w:hAnsi="Times New Roman"/>
                <w:sz w:val="24"/>
                <w:szCs w:val="24"/>
              </w:rPr>
            </w:pPr>
            <w:r>
              <w:rPr>
                <w:rFonts w:ascii="Times New Roman" w:eastAsia="仿宋" w:cs="Times New Roman" w:hAnsi="Times New Roman"/>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rPr>
                <w:rFonts w:ascii="Times New Roman" w:eastAsia="仿宋" w:cs="Times New Roman" w:hAnsi="Times New Roman"/>
                <w:sz w:val="24"/>
                <w:szCs w:val="24"/>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rPr>
                <w:rFonts w:ascii="Times New Roman" w:eastAsia="仿宋" w:cs="Times New Roman" w:hAnsi="Times New Roman"/>
                <w:sz w:val="24"/>
                <w:szCs w:val="24"/>
              </w:rPr>
            </w:pPr>
            <w:r>
              <w:rPr>
                <w:rFonts w:ascii="Times New Roman" w:eastAsia="仿宋" w:cs="Times New Roman" w:hAnsi="Times New Roman"/>
                <w:sz w:val="24"/>
                <w:szCs w:val="24"/>
              </w:rPr>
              <w:t>17</w:t>
            </w:r>
          </w:p>
        </w:tc>
      </w:tr>
      <w:tr>
        <w:trPr>
          <w:trHeight w:val="960"/>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重点工作办结率=（重点工作实际完成数/交办或下达数）×100%。</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817"/>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效   果</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履职</w:t>
              <w:br/>
              <w:t>效益</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经济效益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w:t>
            </w:r>
          </w:p>
        </w:tc>
      </w:tr>
      <w:tr>
        <w:trPr>
          <w:trHeight w:val="743"/>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社会效益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rPr>
                <w:rFonts w:ascii="Times New Roman" w:eastAsia="仿宋" w:cs="Times New Roman" w:hAnsi="Times New Roman"/>
                <w:sz w:val="24"/>
                <w:szCs w:val="24"/>
              </w:rPr>
            </w:pPr>
            <w:r>
              <w:rPr>
                <w:rFonts w:ascii="Times New Roman" w:eastAsia="仿宋" w:cs="Times New Roman" w:hAnsi="Times New Roman"/>
                <w:sz w:val="24"/>
                <w:szCs w:val="24"/>
              </w:rPr>
              <w:t>5</w:t>
            </w:r>
          </w:p>
        </w:tc>
      </w:tr>
      <w:tr>
        <w:trPr>
          <w:trHeight w:val="755"/>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生态效益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rPr>
                <w:rFonts w:ascii="Times New Roman" w:eastAsia="仿宋" w:cs="Times New Roman" w:hAnsi="Times New Roman"/>
                <w:sz w:val="24"/>
                <w:szCs w:val="24"/>
              </w:rPr>
            </w:pPr>
            <w:r>
              <w:rPr>
                <w:rFonts w:ascii="Times New Roman" w:eastAsia="仿宋" w:cs="Times New Roman" w:hAnsi="Times New Roman"/>
                <w:sz w:val="24"/>
                <w:szCs w:val="24"/>
              </w:rPr>
              <w:t>5</w:t>
            </w:r>
          </w:p>
        </w:tc>
      </w:tr>
      <w:tr>
        <w:trPr>
          <w:trHeight w:val="1093"/>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行政效能</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优秀计5分，良好计3分，合格计1分，不合格计0分。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3</w:t>
            </w:r>
          </w:p>
        </w:tc>
      </w:tr>
      <w:tr>
        <w:trPr>
          <w:trHeight w:val="2005"/>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社会公众或部门（单位）的服务对象对部门履职效果的满意程度。</w:t>
              <w:b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≥90%，得5分；</w:t>
            </w:r>
          </w:p>
          <w:p>
            <w:pPr>
              <w:widowControl/>
              <w:spacing w:line="300" w:lineRule="exact"/>
              <w:ind w:firstLineChars="100" w:firstLine="240"/>
              <w:jc w:val="left"/>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每降低1%，扣0.5分，扣完为止。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jc w:val="left"/>
              <w:textAlignment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4.0</w:t>
            </w:r>
          </w:p>
        </w:tc>
      </w:tr>
      <w:tr>
        <w:trPr>
          <w:trHeight w:val="565"/>
        </w:trPr>
        <w:tc>
          <w:tcPr>
            <w:tcW w:w="114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sz w:val="24"/>
                <w:szCs w:val="24"/>
              </w:rPr>
              <w:t>合计</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rPr>
                <w:rFonts w:ascii="Times New Roman" w:eastAsia="仿宋" w:cs="Times New Roman" w:hAnsi="Times New Roman"/>
                <w:sz w:val="24"/>
                <w:szCs w:val="24"/>
              </w:rPr>
            </w:pP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jc w:val="center"/>
              <w:textAlignment w:val="center"/>
              <w:rPr>
                <w:rFonts w:ascii="Times New Roman" w:eastAsia="仿宋" w:cs="Times New Roman" w:hAnsi="Times New Roman"/>
                <w:sz w:val="24"/>
                <w:szCs w:val="24"/>
              </w:rPr>
            </w:pPr>
            <w:r>
              <w:rPr>
                <w:rFonts w:ascii="Times New Roman" w:eastAsia="仿宋" w:cs="Times New Roman" w:hAnsi="Times New Roman"/>
                <w:kern w:val="0"/>
              </w:rPr>
              <w:t>100</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rPr>
                <w:rFonts w:ascii="Times New Roman" w:eastAsia="仿宋" w:cs="Times New Roman" w:hAnsi="Times New Roman"/>
                <w:sz w:val="24"/>
                <w:szCs w:val="24"/>
              </w:rPr>
            </w:pP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firstLineChars="100" w:firstLine="240"/>
              <w:rPr>
                <w:rFonts w:ascii="Times New Roman" w:eastAsia="仿宋" w:cs="Times New Roman" w:hAnsi="Times New Roman"/>
                <w:sz w:val="24"/>
                <w:szCs w:val="24"/>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spacing w:line="300" w:lineRule="exact"/>
              <w:ind w:left="0"/>
              <w:rPr>
                <w:rFonts w:ascii="Times New Roman" w:eastAsia="仿宋" w:cs="Times New Roman" w:hAnsi="Times New Roman"/>
                <w:sz w:val="24"/>
                <w:szCs w:val="24"/>
              </w:rPr>
            </w:pPr>
            <w:r>
              <w:rPr>
                <w:rFonts w:ascii="Times New Roman" w:eastAsia="仿宋" w:cs="Times New Roman" w:hAnsi="Times New Roman"/>
                <w:sz w:val="24"/>
                <w:szCs w:val="24"/>
              </w:rPr>
              <w:t>96.0</w:t>
            </w:r>
          </w:p>
        </w:tc>
      </w:tr>
    </w:tbl>
    <w:p>
      <w:pPr>
        <w:spacing w:line="560" w:lineRule="exact"/>
        <w:jc w:val="center"/>
        <w:rPr>
          <w:rFonts w:ascii="Times New Roman" w:eastAsia="黑体" w:cs="Times New Roman" w:hAnsi="Times New Roman"/>
          <w:kern w:val="0"/>
          <w:sz w:val="32"/>
          <w:szCs w:val="32"/>
        </w:rPr>
      </w:pPr>
      <w:r>
        <w:rPr>
          <w:rFonts w:ascii="Times New Roman" w:eastAsia="黑体" w:cs="Times New Roman" w:hAnsi="Times New Roman"/>
          <w:sz w:val="28"/>
          <w:szCs w:val="28"/>
        </w:rPr>
        <w:br w:type="page"/>
      </w:r>
      <w:r>
        <w:rPr>
          <w:rFonts w:ascii="Times New Roman" w:eastAsia="方正小标宋_GBK" w:cs="Times New Roman" w:hAnsi="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eastAsia="仿宋_GB2312" w:cs="Times New Roman" w:hAnsi="Times New Roman"/>
          <w:kern w:val="0"/>
          <w:sz w:val="24"/>
          <w:szCs w:val="24"/>
        </w:rPr>
      </w:pPr>
      <w:r>
        <w:rPr>
          <w:rFonts w:ascii="Times New Roman" w:eastAsia="仿宋" w:cs="Times New Roman" w:hAnsi="Times New Roman"/>
          <w:kern w:val="0"/>
          <w:sz w:val="24"/>
          <w:szCs w:val="24"/>
        </w:rPr>
        <w:t>填报单位：</w:t>
      </w:r>
      <w:r>
        <w:rPr>
          <w:rFonts w:ascii="Times New Roman" w:eastAsia="仿宋_GB2312" w:cs="Times New Roman" w:hAnsi="Times New Roman"/>
          <w:kern w:val="0"/>
          <w:sz w:val="24"/>
          <w:szCs w:val="24"/>
        </w:rPr>
        <w:tab/>
        <w:tab/>
        <w:tab/>
        <w:tab/>
        <w:tab/>
        <w:tab/>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322"/>
        <w:gridCol w:w="1106"/>
        <w:gridCol w:w="750"/>
        <w:gridCol w:w="934"/>
        <w:gridCol w:w="1050"/>
        <w:gridCol w:w="1009"/>
        <w:gridCol w:w="948"/>
      </w:tblGrid>
      <w:tr>
        <w:trPr>
          <w:trHeight w:val="417"/>
        </w:trPr>
        <w:tc>
          <w:tcPr>
            <w:tcW w:w="332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20</w:t>
            </w:r>
            <w:r>
              <w:rPr>
                <w:rFonts w:ascii="Times New Roman" w:eastAsia="仿宋" w:cs="Times New Roman" w:hAnsi="Times New Roman" w:hint="eastAsia"/>
                <w:bCs/>
                <w:kern w:val="0"/>
                <w:sz w:val="24"/>
                <w:szCs w:val="24"/>
              </w:rPr>
              <w:t>20</w:t>
            </w:r>
            <w:r>
              <w:rPr>
                <w:rFonts w:ascii="Times New Roman" w:eastAsia="仿宋" w:cs="Times New Roman" w:hAnsi="Times New Roman"/>
                <w:bCs/>
                <w:kern w:val="0"/>
                <w:sz w:val="24"/>
                <w:szCs w:val="24"/>
              </w:rPr>
              <w:t>年实际</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控制率</w:t>
            </w:r>
          </w:p>
        </w:tc>
      </w:tr>
      <w:tr>
        <w:trPr>
          <w:trHeight w:val="177"/>
        </w:trPr>
        <w:tc>
          <w:tcPr>
            <w:tcW w:w="3322" w:type="dxa"/>
            <w:vMerge/>
            <w:tcBorders>
              <w:top w:val="single" w:sz="4" w:space="0" w:color="auto"/>
              <w:left w:val="single" w:sz="4" w:space="0" w:color="auto"/>
              <w:bottom w:val="single" w:sz="4" w:space="0" w:color="auto"/>
              <w:right w:val="single" w:sz="4" w:space="0" w:color="auto"/>
            </w:tcBorders>
            <w:noWrap/>
            <w:vAlign w:val="center"/>
          </w:tcPr>
          <w:p/>
        </w:tc>
        <w:tc>
          <w:tcPr>
            <w:tcW w:w="1856"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39</w:t>
            </w:r>
          </w:p>
        </w:tc>
        <w:tc>
          <w:tcPr>
            <w:tcW w:w="1984"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35</w:t>
            </w:r>
          </w:p>
        </w:tc>
        <w:tc>
          <w:tcPr>
            <w:tcW w:w="1957" w:type="dxa"/>
            <w:gridSpan w:val="2"/>
            <w:tcBorders>
              <w:top w:val="single" w:sz="4" w:space="0" w:color="auto"/>
              <w:left w:val="nil"/>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100%</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center"/>
              <w:rPr>
                <w:rFonts w:ascii="黑体" w:eastAsia="黑体" w:cs="黑体" w:hint="eastAsia"/>
                <w:kern w:val="0"/>
                <w:sz w:val="24"/>
                <w:szCs w:val="24"/>
              </w:rPr>
            </w:pPr>
            <w:r>
              <w:rPr>
                <w:rFonts w:ascii="黑体" w:eastAsia="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黑体" w:eastAsia="黑体" w:cs="黑体" w:hint="eastAsia"/>
                <w:bCs/>
                <w:kern w:val="0"/>
                <w:sz w:val="24"/>
                <w:szCs w:val="24"/>
              </w:rPr>
            </w:pPr>
            <w:r>
              <w:rPr>
                <w:rFonts w:ascii="黑体" w:eastAsia="黑体" w:cs="黑体" w:hint="eastAsia"/>
                <w:bCs/>
                <w:kern w:val="0"/>
                <w:sz w:val="24"/>
                <w:szCs w:val="24"/>
              </w:rPr>
              <w:t>2019年决算数</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黑体" w:eastAsia="黑体" w:cs="黑体" w:hint="eastAsia"/>
                <w:bCs/>
                <w:kern w:val="0"/>
                <w:sz w:val="24"/>
                <w:szCs w:val="24"/>
              </w:rPr>
            </w:pPr>
            <w:r>
              <w:rPr>
                <w:rFonts w:ascii="黑体" w:eastAsia="黑体" w:cs="黑体" w:hint="eastAsia"/>
                <w:bCs/>
                <w:kern w:val="0"/>
                <w:sz w:val="24"/>
                <w:szCs w:val="24"/>
              </w:rPr>
              <w:t>2020年预算数</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黑体" w:eastAsia="黑体" w:cs="黑体" w:hint="eastAsia"/>
                <w:bCs/>
                <w:kern w:val="0"/>
                <w:sz w:val="24"/>
                <w:szCs w:val="24"/>
              </w:rPr>
            </w:pPr>
            <w:r>
              <w:rPr>
                <w:rFonts w:ascii="黑体" w:eastAsia="黑体" w:cs="黑体" w:hint="eastAsia"/>
                <w:bCs/>
                <w:kern w:val="0"/>
                <w:sz w:val="24"/>
                <w:szCs w:val="24"/>
              </w:rPr>
              <w:t>2020年决算数</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三公经费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39.00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36.00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27.42</w:t>
            </w:r>
          </w:p>
        </w:tc>
      </w:tr>
      <w:tr>
        <w:trPr>
          <w:trHeight w:val="39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w:t>
            </w:r>
            <w:r>
              <w:rPr>
                <w:rFonts w:ascii="Times New Roman" w:eastAsia="仿宋" w:cs="Times New Roman" w:hAnsi="Times New Roman" w:hint="eastAsia"/>
                <w:kern w:val="0"/>
                <w:sz w:val="24"/>
                <w:szCs w:val="24"/>
              </w:rPr>
              <w:t>1.</w:t>
            </w:r>
            <w:r>
              <w:rPr>
                <w:rFonts w:ascii="Times New Roman" w:eastAsia="仿宋" w:cs="Times New Roman" w:hAnsi="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11.63</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9.00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0</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其中：公车购置</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公车运行维护</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11.63</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9.00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0</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2</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0</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3</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27.37</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27.00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27.42</w:t>
            </w:r>
          </w:p>
        </w:tc>
      </w:tr>
      <w:tr>
        <w:trPr>
          <w:trHeight w:val="39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1</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2</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99.73</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168.79</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152.74　</w:t>
            </w:r>
          </w:p>
        </w:tc>
      </w:tr>
      <w:tr>
        <w:trPr>
          <w:trHeight w:val="39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w:t>
            </w:r>
            <w:r>
              <w:rPr>
                <w:rFonts w:ascii="Times New Roman" w:eastAsia="仿宋" w:cs="Times New Roman" w:hAnsi="Times New Roman" w:hint="eastAsia"/>
                <w:kern w:val="0"/>
                <w:sz w:val="24"/>
                <w:szCs w:val="24"/>
              </w:rPr>
              <w:t>1.</w:t>
            </w:r>
            <w:r>
              <w:rPr>
                <w:rFonts w:ascii="Times New Roman" w:eastAsia="仿宋" w:cs="Times New Roman" w:hAnsi="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16.15</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16.5</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25.28</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widowControl/>
              <w:ind w:firstLineChars="150" w:firstLine="36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2.印刷费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3.25</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18.00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3</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2.46</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0.54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hint="eastAsia"/>
                <w:kern w:val="0"/>
                <w:sz w:val="24"/>
                <w:szCs w:val="24"/>
              </w:rPr>
              <w:t xml:space="preserve">    </w:t>
            </w:r>
            <w:r>
              <w:rPr>
                <w:rFonts w:ascii="Times New Roman" w:eastAsia="仿宋" w:cs="Times New Roman" w:hAnsi="Times New Roman"/>
                <w:kern w:val="0"/>
                <w:sz w:val="24"/>
                <w:szCs w:val="24"/>
              </w:rPr>
              <w:t>4</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12.37</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12.00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11.81</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5</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18.62　</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11.00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hint="eastAsia"/>
                <w:kern w:val="0"/>
                <w:sz w:val="24"/>
                <w:szCs w:val="24"/>
              </w:rPr>
              <w:t xml:space="preserve">    </w:t>
            </w:r>
            <w:r>
              <w:rPr>
                <w:rFonts w:ascii="Times New Roman" w:eastAsia="仿宋" w:cs="Times New Roman" w:hAnsi="Times New Roman"/>
                <w:kern w:val="0"/>
                <w:sz w:val="24"/>
                <w:szCs w:val="24"/>
              </w:rPr>
              <w:t>6</w:t>
            </w:r>
            <w:r>
              <w:rPr>
                <w:rFonts w:ascii="Times New Roman" w:eastAsia="仿宋" w:cs="Times New Roman" w:hAnsi="Times New Roman" w:hint="eastAsia"/>
                <w:kern w:val="0"/>
                <w:sz w:val="24"/>
                <w:szCs w:val="24"/>
              </w:rPr>
              <w:t>.</w:t>
            </w:r>
            <w:r>
              <w:rPr>
                <w:rFonts w:ascii="Times New Roman" w:eastAsia="仿宋" w:cs="Times New Roman" w:hAnsi="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12.50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1.5</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ind w:left="0" w:firstLineChars="200" w:firstLine="480"/>
            </w:pPr>
            <w:r>
              <w:rPr>
                <w:rFonts w:ascii="Times New Roman" w:eastAsia="仿宋" w:cs="Times New Roman" w:hAnsi="Times New Roman"/>
                <w:kern w:val="0"/>
                <w:sz w:val="24"/>
                <w:szCs w:val="24"/>
              </w:rPr>
              <w:t>7.邮电费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7.90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3.0</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rPr>
                <w:rFonts w:ascii="Times New Roman" w:eastAsia="仿宋" w:cs="Times New Roman" w:hAnsi="Times New Roman"/>
                <w:kern w:val="0"/>
                <w:sz w:val="24"/>
                <w:szCs w:val="24"/>
              </w:rPr>
            </w:pPr>
            <w:r>
              <w:rPr>
                <w:rFonts w:ascii="Times New Roman" w:eastAsia="仿宋" w:cs="Times New Roman" w:hAnsi="Times New Roman"/>
                <w:kern w:val="0"/>
                <w:sz w:val="24"/>
                <w:szCs w:val="24"/>
              </w:rPr>
              <w:t xml:space="preserve">    8.物业管理费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4.60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4.57</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ind w:firstLineChars="200" w:firstLine="480"/>
              <w:rPr>
                <w:rFonts w:ascii="Times New Roman" w:eastAsia="仿宋" w:cs="Times New Roman" w:hAnsi="Times New Roman"/>
                <w:kern w:val="0"/>
                <w:sz w:val="24"/>
                <w:szCs w:val="24"/>
              </w:rPr>
            </w:pPr>
            <w:r>
              <w:rPr>
                <w:rFonts w:ascii="Times New Roman" w:eastAsia="仿宋" w:cs="Times New Roman" w:hAnsi="Times New Roman"/>
                <w:kern w:val="0"/>
                <w:sz w:val="24"/>
                <w:szCs w:val="24"/>
              </w:rPr>
              <w:t>9.维修（护）费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5.27</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6.3</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ind w:firstLineChars="200" w:firstLine="480"/>
            </w:pPr>
            <w:r>
              <w:rPr>
                <w:rFonts w:ascii="Times New Roman" w:eastAsia="仿宋" w:cs="Times New Roman" w:hAnsi="Times New Roman"/>
                <w:kern w:val="0"/>
                <w:sz w:val="24"/>
                <w:szCs w:val="24"/>
              </w:rPr>
              <w:t>10.公务接待费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10.06</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24.20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9.12</w:t>
            </w:r>
          </w:p>
        </w:tc>
      </w:tr>
      <w:tr>
        <w:trPr>
          <w:trHeight w:val="197"/>
        </w:trPr>
        <w:tc>
          <w:tcPr>
            <w:tcW w:w="3322" w:type="dxa"/>
            <w:tcBorders>
              <w:top w:val="nil"/>
              <w:left w:val="single" w:sz="4" w:space="0" w:color="auto"/>
              <w:bottom w:val="single" w:sz="4" w:space="0" w:color="auto"/>
              <w:right w:val="single" w:sz="4" w:space="0" w:color="auto"/>
            </w:tcBorders>
            <w:noWrap/>
            <w:vAlign w:val="center"/>
          </w:tcPr>
          <w:p>
            <w:pPr>
              <w:ind w:firstLineChars="200" w:firstLine="480"/>
              <w:rPr>
                <w:rFonts w:ascii="Times New Roman" w:eastAsia="仿宋" w:cs="Times New Roman" w:hAnsi="Times New Roman"/>
                <w:kern w:val="0"/>
                <w:sz w:val="24"/>
                <w:szCs w:val="24"/>
              </w:rPr>
            </w:pPr>
            <w:r>
              <w:rPr>
                <w:rFonts w:ascii="Times New Roman" w:eastAsia="仿宋" w:cs="Times New Roman" w:hAnsi="Times New Roman"/>
                <w:kern w:val="0"/>
                <w:sz w:val="24"/>
                <w:szCs w:val="24"/>
              </w:rPr>
              <w:t>11.专用材料费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14.57</w:t>
            </w:r>
          </w:p>
        </w:tc>
      </w:tr>
      <w:tr>
        <w:trPr>
          <w:trHeight w:val="197"/>
        </w:trPr>
        <w:tc>
          <w:tcPr>
            <w:tcW w:w="3322" w:type="dxa"/>
            <w:tcBorders>
              <w:top w:val="nil"/>
              <w:left w:val="single" w:sz="4" w:space="0" w:color="auto"/>
              <w:bottom w:val="single" w:sz="4" w:space="0" w:color="auto"/>
              <w:right w:val="single" w:sz="4" w:space="0" w:color="auto"/>
            </w:tcBorders>
            <w:noWrap/>
            <w:vAlign w:val="center"/>
          </w:tcPr>
          <w:p>
            <w:pPr>
              <w:ind w:firstLineChars="200" w:firstLine="480"/>
              <w:rPr>
                <w:rFonts w:ascii="Times New Roman" w:eastAsia="仿宋" w:cs="Times New Roman" w:hAnsi="Times New Roman"/>
                <w:kern w:val="0"/>
                <w:sz w:val="24"/>
                <w:szCs w:val="24"/>
              </w:rPr>
            </w:pPr>
            <w:r>
              <w:rPr>
                <w:rFonts w:ascii="Times New Roman" w:eastAsia="仿宋" w:cs="Times New Roman" w:hAnsi="Times New Roman"/>
                <w:kern w:val="0"/>
                <w:sz w:val="24"/>
                <w:szCs w:val="24"/>
              </w:rPr>
              <w:t>12.专用燃料费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2.67</w:t>
            </w:r>
          </w:p>
        </w:tc>
      </w:tr>
      <w:tr>
        <w:trPr>
          <w:trHeight w:val="197"/>
        </w:trPr>
        <w:tc>
          <w:tcPr>
            <w:tcW w:w="3322" w:type="dxa"/>
            <w:tcBorders>
              <w:top w:val="nil"/>
              <w:left w:val="single" w:sz="4" w:space="0" w:color="auto"/>
              <w:bottom w:val="single" w:sz="4" w:space="0" w:color="auto"/>
              <w:right w:val="single" w:sz="4" w:space="0" w:color="auto"/>
            </w:tcBorders>
            <w:noWrap/>
            <w:vAlign w:val="center"/>
          </w:tcPr>
          <w:p>
            <w:pPr>
              <w:ind w:firstLineChars="200" w:firstLine="480"/>
              <w:rPr>
                <w:rFonts w:ascii="Times New Roman" w:eastAsia="仿宋" w:cs="Times New Roman" w:hAnsi="Times New Roman"/>
                <w:kern w:val="0"/>
                <w:sz w:val="24"/>
                <w:szCs w:val="24"/>
              </w:rPr>
            </w:pPr>
            <w:r>
              <w:rPr>
                <w:rFonts w:ascii="Times New Roman" w:eastAsia="仿宋" w:cs="Times New Roman" w:hAnsi="Times New Roman"/>
                <w:kern w:val="0"/>
                <w:sz w:val="24"/>
                <w:szCs w:val="24"/>
              </w:rPr>
              <w:t>13.委托业务费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14.01</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2.05</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0.81</w:t>
            </w:r>
          </w:p>
        </w:tc>
      </w:tr>
      <w:tr>
        <w:trPr>
          <w:trHeight w:val="197"/>
        </w:trPr>
        <w:tc>
          <w:tcPr>
            <w:tcW w:w="3322" w:type="dxa"/>
            <w:tcBorders>
              <w:top w:val="nil"/>
              <w:left w:val="single" w:sz="4" w:space="0" w:color="auto"/>
              <w:bottom w:val="single" w:sz="4" w:space="0" w:color="auto"/>
              <w:right w:val="single" w:sz="4" w:space="0" w:color="auto"/>
            </w:tcBorders>
            <w:noWrap/>
            <w:vAlign w:val="center"/>
          </w:tcPr>
          <w:p>
            <w:pPr>
              <w:ind w:firstLineChars="200" w:firstLine="480"/>
            </w:pPr>
            <w:r>
              <w:rPr>
                <w:rFonts w:ascii="Times New Roman" w:eastAsia="仿宋" w:cs="Times New Roman" w:hAnsi="Times New Roman"/>
                <w:kern w:val="0"/>
                <w:sz w:val="24"/>
                <w:szCs w:val="24"/>
              </w:rPr>
              <w:t>14.工会经费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13.00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17.4</w:t>
            </w:r>
          </w:p>
        </w:tc>
      </w:tr>
      <w:tr>
        <w:trPr>
          <w:trHeight w:val="487"/>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b/>
                <w:bCs/>
                <w:kern w:val="0"/>
                <w:sz w:val="24"/>
                <w:szCs w:val="24"/>
              </w:rPr>
            </w:pPr>
            <w:r>
              <w:rPr>
                <w:rFonts w:ascii="Times New Roman" w:eastAsia="仿宋" w:cs="Times New Roman" w:hAnsi="Times New Roman"/>
                <w:b/>
                <w:bCs/>
                <w:kern w:val="0"/>
                <w:sz w:val="24"/>
                <w:szCs w:val="24"/>
              </w:rPr>
              <w:t xml:space="preserve">    </w:t>
            </w:r>
            <w:r>
              <w:rPr>
                <w:rFonts w:ascii="Times New Roman" w:eastAsia="仿宋" w:cs="Times New Roman" w:hAnsi="Times New Roman"/>
                <w:kern w:val="0"/>
                <w:sz w:val="24"/>
                <w:szCs w:val="24"/>
              </w:rPr>
              <w:t>15.其他交通费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15.68</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16.4</w:t>
            </w:r>
          </w:p>
        </w:tc>
      </w:tr>
      <w:tr>
        <w:trPr>
          <w:trHeight w:val="369"/>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16.公务用车运行费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9.00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r>
      <w:tr>
        <w:trPr>
          <w:trHeight w:val="369"/>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17.劳务费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11.00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r>
      <w:tr>
        <w:trPr>
          <w:trHeight w:val="369"/>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18.党建费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5.90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r>
      <w:tr>
        <w:trPr>
          <w:trHeight w:val="369"/>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19.老干费</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3.0</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20.其他商品服务支出</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20</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8.8</w:t>
            </w:r>
          </w:p>
        </w:tc>
      </w:tr>
      <w:tr>
        <w:trPr>
          <w:trHeight w:val="370"/>
        </w:trPr>
        <w:tc>
          <w:tcPr>
            <w:tcW w:w="3322" w:type="dxa"/>
            <w:tcBorders>
              <w:top w:val="nil"/>
              <w:left w:val="single" w:sz="4" w:space="0" w:color="auto"/>
              <w:bottom w:val="single" w:sz="4" w:space="0" w:color="auto"/>
              <w:right w:val="single" w:sz="4" w:space="0" w:color="auto"/>
            </w:tcBorders>
            <w:noWrap/>
            <w:vAlign w:val="center"/>
          </w:tcPr>
          <w:p>
            <w:pPr>
              <w:widowControl/>
              <w:ind w:firstLineChars="200" w:firstLine="480"/>
              <w:jc w:val="left"/>
              <w:rPr>
                <w:rFonts w:ascii="Times New Roman" w:eastAsia="仿宋" w:cs="Times New Roman" w:hAnsi="Times New Roman"/>
                <w:b/>
                <w:bCs/>
                <w:kern w:val="0"/>
                <w:sz w:val="24"/>
                <w:szCs w:val="24"/>
              </w:rPr>
            </w:pPr>
            <w:r>
              <w:rPr>
                <w:rFonts w:ascii="Times New Roman" w:eastAsia="仿宋" w:cs="Times New Roman" w:hAnsi="Times New Roman"/>
                <w:kern w:val="0"/>
                <w:sz w:val="24"/>
                <w:szCs w:val="24"/>
              </w:rPr>
              <w:t>21.其他资本性支出</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29.97</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371"/>
        </w:trPr>
        <w:tc>
          <w:tcPr>
            <w:tcW w:w="3322" w:type="dxa"/>
            <w:tcBorders>
              <w:top w:val="nil"/>
              <w:left w:val="single" w:sz="4" w:space="0" w:color="auto"/>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 xml:space="preserve">部门整体支出预算调整 </w:t>
            </w:r>
          </w:p>
        </w:tc>
        <w:tc>
          <w:tcPr>
            <w:tcW w:w="1856"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957" w:type="dxa"/>
            <w:gridSpan w:val="2"/>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1154"/>
        </w:trPr>
        <w:tc>
          <w:tcPr>
            <w:tcW w:w="3322"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楼堂馆所控制情况</w:t>
              <w:br/>
              <w:t>（20</w:t>
            </w:r>
            <w:r>
              <w:rPr>
                <w:rFonts w:ascii="Times New Roman" w:eastAsia="仿宋" w:cs="Times New Roman" w:hAnsi="Times New Roman" w:hint="eastAsia"/>
                <w:b/>
                <w:bCs/>
                <w:kern w:val="0"/>
                <w:sz w:val="24"/>
                <w:szCs w:val="24"/>
              </w:rPr>
              <w:t>20</w:t>
            </w:r>
            <w:r>
              <w:rPr>
                <w:rFonts w:ascii="Times New Roman" w:eastAsia="仿宋" w:cs="Times New Roman" w:hAnsi="Times New Roman"/>
                <w:b/>
                <w:bCs/>
                <w:kern w:val="0"/>
                <w:sz w:val="24"/>
                <w:szCs w:val="24"/>
              </w:rPr>
              <w:t>年完工项目）</w:t>
            </w:r>
          </w:p>
        </w:tc>
        <w:tc>
          <w:tcPr>
            <w:tcW w:w="1106"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批复</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规模</w:t>
              <w:br/>
            </w:r>
            <w:r>
              <w:rPr>
                <w:rFonts w:ascii="Times New Roman" w:eastAsia="仿宋" w:cs="Times New Roman" w:hAnsi="Times New Roman" w:hint="eastAsia"/>
                <w:bCs/>
                <w:kern w:val="0"/>
                <w:sz w:val="24"/>
                <w:szCs w:val="24"/>
              </w:rPr>
              <w:t>(</w:t>
            </w:r>
            <w:r>
              <w:rPr>
                <w:rFonts w:ascii="Times New Roman" w:eastAsia="仿宋" w:cs="Times New Roman" w:hAnsi="Times New Roman"/>
                <w:bCs/>
                <w:kern w:val="0"/>
                <w:sz w:val="24"/>
                <w:szCs w:val="24"/>
              </w:rPr>
              <w:t>㎡</w:t>
            </w:r>
            <w:r>
              <w:rPr>
                <w:rFonts w:ascii="Times New Roman" w:eastAsia="仿宋" w:cs="Times New Roman" w:hAnsi="Times New Roman" w:hint="eastAsia"/>
                <w:bCs/>
                <w:kern w:val="0"/>
                <w:sz w:val="24"/>
                <w:szCs w:val="24"/>
              </w:rPr>
              <w:t>)</w:t>
            </w:r>
          </w:p>
        </w:tc>
        <w:tc>
          <w:tcPr>
            <w:tcW w:w="750"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hint="eastAsia"/>
                <w:bCs/>
                <w:kern w:val="0"/>
                <w:sz w:val="24"/>
                <w:szCs w:val="24"/>
              </w:rPr>
            </w:pPr>
            <w:r>
              <w:rPr>
                <w:rFonts w:ascii="Times New Roman" w:eastAsia="仿宋" w:cs="Times New Roman" w:hAnsi="Times New Roman"/>
                <w:bCs/>
                <w:kern w:val="0"/>
                <w:sz w:val="24"/>
                <w:szCs w:val="24"/>
              </w:rPr>
              <w:t>实际规模</w:t>
            </w:r>
            <w:r>
              <w:rPr>
                <w:rFonts w:ascii="Times New Roman" w:eastAsia="仿宋" w:cs="Times New Roman" w:hAnsi="Times New Roman" w:hint="eastAsia"/>
                <w:bCs/>
                <w:kern w:val="0"/>
                <w:sz w:val="24"/>
                <w:szCs w:val="24"/>
              </w:rPr>
              <w:t>(</w:t>
            </w:r>
            <w:r>
              <w:rPr>
                <w:rFonts w:ascii="Times New Roman" w:eastAsia="仿宋" w:cs="Times New Roman" w:hAnsi="Times New Roman"/>
                <w:bCs/>
                <w:kern w:val="0"/>
                <w:sz w:val="24"/>
                <w:szCs w:val="24"/>
              </w:rPr>
              <w:t>㎡</w:t>
            </w:r>
            <w:r>
              <w:rPr>
                <w:rFonts w:ascii="Times New Roman" w:eastAsia="仿宋" w:cs="Times New Roman" w:hAnsi="Times New Roman" w:hint="eastAsia"/>
                <w:bCs/>
                <w:kern w:val="0"/>
                <w:sz w:val="24"/>
                <w:szCs w:val="24"/>
              </w:rPr>
              <w:t>)</w:t>
            </w:r>
          </w:p>
        </w:tc>
        <w:tc>
          <w:tcPr>
            <w:tcW w:w="934"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规模</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控制率</w:t>
            </w:r>
          </w:p>
        </w:tc>
        <w:tc>
          <w:tcPr>
            <w:tcW w:w="1050"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预算</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投资</w:t>
            </w:r>
          </w:p>
          <w:p>
            <w:pPr>
              <w:widowControl/>
              <w:jc w:val="center"/>
              <w:rPr>
                <w:rFonts w:ascii="Times New Roman" w:eastAsia="仿宋" w:cs="Times New Roman" w:hAnsi="Times New Roman" w:hint="eastAsia"/>
                <w:bCs/>
                <w:kern w:val="0"/>
                <w:sz w:val="24"/>
                <w:szCs w:val="24"/>
              </w:rPr>
            </w:pPr>
            <w:r>
              <w:rPr>
                <w:rFonts w:ascii="Times New Roman" w:eastAsia="仿宋" w:cs="Times New Roman" w:hAnsi="Times New Roman" w:hint="eastAsia"/>
                <w:bCs/>
                <w:kern w:val="0"/>
                <w:sz w:val="24"/>
                <w:szCs w:val="24"/>
              </w:rPr>
              <w:t>(</w:t>
            </w:r>
            <w:r>
              <w:rPr>
                <w:rFonts w:ascii="Times New Roman" w:eastAsia="仿宋" w:cs="Times New Roman" w:hAnsi="Times New Roman"/>
                <w:bCs/>
                <w:kern w:val="0"/>
                <w:sz w:val="24"/>
                <w:szCs w:val="24"/>
              </w:rPr>
              <w:t>万元</w:t>
            </w:r>
            <w:r>
              <w:rPr>
                <w:rFonts w:ascii="Times New Roman" w:eastAsia="仿宋" w:cs="Times New Roman" w:hAnsi="Times New Roman" w:hint="eastAsia"/>
                <w:bCs/>
                <w:kern w:val="0"/>
                <w:sz w:val="24"/>
                <w:szCs w:val="24"/>
              </w:rPr>
              <w:t>)</w:t>
            </w:r>
          </w:p>
        </w:tc>
        <w:tc>
          <w:tcPr>
            <w:tcW w:w="1009"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实际</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投资</w:t>
            </w:r>
          </w:p>
          <w:p>
            <w:pPr>
              <w:widowControl/>
              <w:jc w:val="center"/>
              <w:rPr>
                <w:rFonts w:ascii="Times New Roman" w:eastAsia="仿宋" w:cs="Times New Roman" w:hAnsi="Times New Roman" w:hint="eastAsia"/>
                <w:bCs/>
                <w:kern w:val="0"/>
                <w:sz w:val="24"/>
                <w:szCs w:val="24"/>
              </w:rPr>
            </w:pPr>
            <w:r>
              <w:rPr>
                <w:rFonts w:ascii="Times New Roman" w:eastAsia="仿宋" w:cs="Times New Roman" w:hAnsi="Times New Roman" w:hint="eastAsia"/>
                <w:bCs/>
                <w:kern w:val="0"/>
                <w:sz w:val="24"/>
                <w:szCs w:val="24"/>
              </w:rPr>
              <w:t>(</w:t>
            </w:r>
            <w:r>
              <w:rPr>
                <w:rFonts w:ascii="Times New Roman" w:eastAsia="仿宋" w:cs="Times New Roman" w:hAnsi="Times New Roman"/>
                <w:bCs/>
                <w:kern w:val="0"/>
                <w:sz w:val="24"/>
                <w:szCs w:val="24"/>
              </w:rPr>
              <w:t>万元</w:t>
            </w:r>
            <w:r>
              <w:rPr>
                <w:rFonts w:ascii="Times New Roman" w:eastAsia="仿宋" w:cs="Times New Roman" w:hAnsi="Times New Roman" w:hint="eastAsia"/>
                <w:bCs/>
                <w:kern w:val="0"/>
                <w:sz w:val="24"/>
                <w:szCs w:val="24"/>
              </w:rPr>
              <w:t>)</w:t>
            </w:r>
          </w:p>
        </w:tc>
        <w:tc>
          <w:tcPr>
            <w:tcW w:w="948"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投资</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概算</w:t>
            </w:r>
          </w:p>
          <w:p>
            <w:pPr>
              <w:widowControl/>
              <w:jc w:val="center"/>
              <w:rPr>
                <w:rFonts w:ascii="Times New Roman" w:eastAsia="仿宋" w:cs="Times New Roman" w:hAnsi="Times New Roman"/>
                <w:bCs/>
                <w:kern w:val="0"/>
                <w:sz w:val="24"/>
                <w:szCs w:val="24"/>
              </w:rPr>
            </w:pPr>
            <w:r>
              <w:rPr>
                <w:rFonts w:ascii="Times New Roman" w:eastAsia="仿宋" w:cs="Times New Roman" w:hAnsi="Times New Roman"/>
                <w:bCs/>
                <w:kern w:val="0"/>
                <w:sz w:val="24"/>
                <w:szCs w:val="24"/>
              </w:rPr>
              <w:t>控制率</w:t>
            </w:r>
          </w:p>
        </w:tc>
      </w:tr>
      <w:tr>
        <w:trPr>
          <w:trHeight w:val="177"/>
        </w:trPr>
        <w:tc>
          <w:tcPr>
            <w:tcW w:w="3322" w:type="dxa"/>
            <w:vMerge/>
            <w:tcBorders>
              <w:top w:val="nil"/>
              <w:left w:val="single" w:sz="4" w:space="0" w:color="auto"/>
              <w:bottom w:val="single" w:sz="4" w:space="0" w:color="auto"/>
              <w:right w:val="single" w:sz="4" w:space="0" w:color="auto"/>
            </w:tcBorders>
            <w:noWrap/>
            <w:vAlign w:val="center"/>
          </w:tcPr>
          <w:p/>
        </w:tc>
        <w:tc>
          <w:tcPr>
            <w:tcW w:w="1106" w:type="dxa"/>
            <w:tcBorders>
              <w:top w:val="nil"/>
              <w:left w:val="nil"/>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750" w:type="dxa"/>
            <w:tcBorders>
              <w:top w:val="nil"/>
              <w:left w:val="nil"/>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934" w:type="dxa"/>
            <w:tcBorders>
              <w:top w:val="nil"/>
              <w:left w:val="nil"/>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050" w:type="dxa"/>
            <w:tcBorders>
              <w:top w:val="nil"/>
              <w:left w:val="nil"/>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1009" w:type="dxa"/>
            <w:tcBorders>
              <w:top w:val="nil"/>
              <w:left w:val="nil"/>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c>
          <w:tcPr>
            <w:tcW w:w="948" w:type="dxa"/>
            <w:tcBorders>
              <w:top w:val="nil"/>
              <w:left w:val="nil"/>
              <w:bottom w:val="single" w:sz="4" w:space="0" w:color="auto"/>
              <w:right w:val="single" w:sz="4" w:space="0" w:color="auto"/>
            </w:tcBorders>
            <w:noWrap/>
            <w:vAlign w:val="center"/>
          </w:tcPr>
          <w:p>
            <w:pPr>
              <w:widowControl/>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　</w:t>
            </w:r>
          </w:p>
        </w:tc>
      </w:tr>
      <w:tr>
        <w:trPr>
          <w:trHeight w:val="979"/>
        </w:trPr>
        <w:tc>
          <w:tcPr>
            <w:tcW w:w="3322"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noWrap/>
            <w:vAlign w:val="center"/>
          </w:tcPr>
          <w:p>
            <w:pPr>
              <w:widowControl/>
              <w:jc w:val="center"/>
              <w:rPr>
                <w:rFonts w:ascii="Times New Roman" w:eastAsia="仿宋" w:cs="Times New Roman" w:hAnsi="Times New Roman"/>
                <w:kern w:val="0"/>
                <w:sz w:val="24"/>
                <w:szCs w:val="24"/>
              </w:rPr>
            </w:pPr>
            <w:r>
              <w:rPr>
                <w:rFonts w:ascii="Times New Roman" w:eastAsia="仿宋" w:cs="Times New Roman" w:hAnsi="Times New Roman"/>
                <w:kern w:val="0"/>
                <w:sz w:val="24"/>
                <w:szCs w:val="24"/>
              </w:rPr>
              <w:t>公务接待严格按公务接待标准、范围执行，杜绝无公函接待、超标准、超范围接待现象发生。</w:t>
            </w:r>
          </w:p>
        </w:tc>
      </w:tr>
    </w:tbl>
    <w:p>
      <w:pPr>
        <w:widowControl/>
        <w:jc w:val="left"/>
        <w:rPr>
          <w:rFonts w:ascii="Times New Roman" w:eastAsia="仿宋" w:cs="Times New Roman" w:hAnsi="Times New Roman"/>
          <w:kern w:val="0"/>
          <w:sz w:val="24"/>
          <w:szCs w:val="24"/>
        </w:rPr>
      </w:pPr>
    </w:p>
    <w:p>
      <w:pPr>
        <w:widowControl/>
        <w:ind w:firstLineChars="200" w:firstLine="480"/>
        <w:jc w:val="left"/>
        <w:rPr>
          <w:rFonts w:ascii="Times New Roman" w:eastAsia="仿宋" w:cs="Times New Roman" w:hAnsi="Times New Roman"/>
          <w:kern w:val="0"/>
          <w:sz w:val="24"/>
          <w:szCs w:val="24"/>
        </w:rPr>
      </w:pPr>
      <w:r>
        <w:rPr>
          <w:rFonts w:ascii="Times New Roman" w:eastAsia="仿宋" w:cs="Times New Roman" w:hAnsi="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eastAsia="仿宋" w:cs="Times New Roman" w:hAnsi="Times New Roman"/>
          <w:sz w:val="24"/>
          <w:szCs w:val="24"/>
        </w:rPr>
      </w:pPr>
    </w:p>
    <w:sectPr>
      <w:footerReference w:type="default" r:id="rId2"/>
      <w:footerReference w:type="even" r:id="rId3"/>
      <w:pgSz w:w="11906" w:h="16838"/>
      <w:pgMar w:top="1701" w:right="1418" w:bottom="1417" w:left="1531" w:header="851" w:footer="992" w:gutter="0"/>
      <w:pgNumType w:start="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仿宋_GB2312"/>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方正小标宋_GBK">
    <w:altName w:val="微软雅黑"/>
    <w:panose1 w:val="03000509000000000000"/>
    <w:charset w:val="86"/>
    <w:family w:val="script"/>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Calibri">
    <w:altName w:val="仿宋_GB2312"/>
    <w:panose1 w:val="020F0502020204030204"/>
    <w:charset w:val="00"/>
    <w:family w:val="swiss"/>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永中宋体">
    <w:panose1 w:val="02010600030101010101"/>
    <w:charset w:val="86"/>
    <w:family w:val="auto"/>
    <w:pitch w:val="variable"/>
    <w:sig w:usb0="000008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ind w:right="360" w:firstLine="360"/>
      <w:jc w:val="right"/>
    </w:pP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tabs>
        <w:tab w:val="center" w:pos="4153"/>
        <w:tab w:val="right" w:pos="8306"/>
      </w:tabs>
      <w:rPr>
        <w:rStyle w:val="19"/>
      </w:rPr>
    </w:pPr>
    <w:r>
      <w:rPr>
        <w:rStyle w:val="19"/>
      </w:rPr>
      <w:fldChar w:fldCharType="begin"/>
    </w:r>
    <w:r>
      <w:rPr>
        <w:rStyle w:val="19"/>
      </w:rPr>
      <w:instrText xml:space="preserve">PAGE  </w:instrText>
    </w:r>
    <w:r>
      <w:fldChar w:fldCharType="separate"/>
    </w:r>
    <w:r>
      <w:fldChar w:fldCharType="end"/>
    </w:r>
  </w:p>
  <w:p>
    <w:pPr>
      <w:pStyle w:val="16"/>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0AD4BC6"/>
    <w:multiLevelType w:val="hybridMultilevel"/>
    <w:tmpl w:val="00000000"/>
    <w:lvl w:ilvl="0">
      <w:start w:val="1"/>
      <w:numFmt w:val="chineseCountingThousand"/>
      <w:lvlRestart w:val="0"/>
      <w:lvlText w:val="（%1）"/>
      <w:lvlJc w:val="left"/>
      <w:pPr>
        <w:tabs>
          <w:tab w:val="num" w:pos="1440"/>
        </w:tabs>
        <w:ind w:left="1440" w:hanging="9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491287F7"/>
    <w:multiLevelType w:val="hybridMultilevel"/>
    <w:tmpl w:val="00000000"/>
    <w:lvl w:ilvl="0">
      <w:start w:val="1"/>
      <w:numFmt w:val="chineseCountingThousand"/>
      <w:lvlRestart w:val="0"/>
      <w:lvlText w:val="（%1）"/>
      <w:lvlJc w:val="left"/>
      <w:pPr>
        <w:tabs>
          <w:tab w:val="num" w:pos="1600"/>
        </w:tabs>
        <w:ind w:left="1600" w:hanging="96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A267898E"/>
    <w:multiLevelType w:val="hybridMultilevel"/>
    <w:tmpl w:val="00000000"/>
    <w:lvl w:ilvl="0">
      <w:start w:val="1"/>
      <w:numFmt w:val="decimal"/>
      <w:lvlRestart w:val="0"/>
      <w:lvlText w:val="%1、"/>
      <w:lvlJc w:val="left"/>
      <w:pPr>
        <w:tabs>
          <w:tab w:val="num" w:pos="1120"/>
        </w:tabs>
        <w:ind w:left="1120" w:hanging="48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60103A85"/>
    <w:multiLevelType w:val="hybridMultilevel"/>
    <w:tmpl w:val="00000000"/>
    <w:lvl w:ilvl="0">
      <w:start w:val="1"/>
      <w:numFmt w:val="decimal"/>
      <w:lvlRestart w:val="0"/>
      <w:lvlText w:val="%1、"/>
      <w:lvlJc w:val="left"/>
      <w:pPr>
        <w:tabs>
          <w:tab w:val="num" w:pos="1127"/>
        </w:tabs>
        <w:ind w:left="1127" w:hanging="487"/>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cs="宋体"/>
      <w:kern w:val="36"/>
      <w:sz w:val="48"/>
      <w:szCs w:val="48"/>
    </w:rPr>
  </w:style>
  <w:style w:type="paragraph" w:styleId="2">
    <w:name w:val="heading 2"/>
    <w:basedOn w:val="0"/>
    <w:next w:val="0"/>
    <w:pPr>
      <w:widowControl/>
      <w:spacing w:before="100" w:beforeAutospacing="1" w:after="100" w:afterAutospacing="1"/>
      <w:jc w:val="left"/>
      <w:outlineLvl w:val="1"/>
    </w:pPr>
    <w:rPr>
      <w:rFonts w:ascii="宋体" w:cs="宋体"/>
      <w:kern w:val="0"/>
      <w:sz w:val="36"/>
      <w:szCs w:val="36"/>
    </w:rPr>
  </w:style>
  <w:style w:type="paragraph" w:styleId="3">
    <w:name w:val="heading 3"/>
    <w:basedOn w:val="0"/>
    <w:next w:val="0"/>
    <w:pPr>
      <w:widowControl/>
      <w:spacing w:before="100" w:beforeAutospacing="1" w:after="100" w:afterAutospacing="1"/>
      <w:jc w:val="left"/>
      <w:outlineLvl w:val="2"/>
    </w:pPr>
    <w:rPr>
      <w:rFonts w:ascii="宋体" w:cs="宋体"/>
      <w:kern w:val="0"/>
      <w:sz w:val="27"/>
      <w:szCs w:val="27"/>
    </w:rPr>
  </w:style>
  <w:style w:type="paragraph" w:styleId="4">
    <w:name w:val="heading 4"/>
    <w:basedOn w:val="0"/>
    <w:next w:val="0"/>
    <w:pPr>
      <w:widowControl/>
      <w:spacing w:before="100" w:beforeAutospacing="1" w:after="100" w:afterAutospacing="1"/>
      <w:jc w:val="left"/>
      <w:outlineLvl w:val="3"/>
    </w:pPr>
    <w:rPr>
      <w:rFonts w:ascii="宋体" w:cs="宋体"/>
      <w:kern w:val="0"/>
      <w:sz w:val="24"/>
      <w:szCs w:val="24"/>
    </w:rPr>
  </w:style>
  <w:style w:type="paragraph" w:styleId="5">
    <w:name w:val="heading 5"/>
    <w:basedOn w:val="0"/>
    <w:next w:val="0"/>
    <w:pPr>
      <w:widowControl/>
      <w:spacing w:before="100" w:beforeAutospacing="1" w:after="100" w:afterAutospacing="1"/>
      <w:jc w:val="left"/>
      <w:outlineLvl w:val="4"/>
    </w:pPr>
    <w:rPr>
      <w:rFonts w:ascii="宋体" w:cs="宋体"/>
      <w:kern w:val="0"/>
      <w:sz w:val="20"/>
      <w:szCs w:val="20"/>
    </w:rPr>
  </w:style>
  <w:style w:type="paragraph" w:styleId="6">
    <w:name w:val="heading 6"/>
    <w:basedOn w:val="0"/>
    <w:next w:val="0"/>
    <w:pPr>
      <w:widowControl/>
      <w:spacing w:before="100" w:beforeAutospacing="1" w:after="100" w:afterAutospacing="1"/>
      <w:jc w:val="left"/>
      <w:outlineLvl w:val="5"/>
    </w:pPr>
    <w:rPr>
      <w:rFonts w:ascii="宋体" w:cs="宋体"/>
      <w:kern w:val="0"/>
      <w:sz w:val="15"/>
      <w:szCs w:val="15"/>
    </w:rPr>
  </w:style>
  <w:style w:type="character" w:default="1" w:styleId="10">
    <w:name w:val="Default Paragraph Font"/>
  </w:style>
  <w:style w:type="paragraph" w:styleId="15">
    <w:name w:val="HTML Address"/>
    <w:basedOn w:val="0"/>
    <w:pPr>
      <w:widowControl/>
      <w:jc w:val="left"/>
    </w:pPr>
    <w:rPr>
      <w:rFonts w:ascii="宋体" w:cs="宋体"/>
      <w:kern w:val="0"/>
      <w:sz w:val="24"/>
      <w:szCs w:val="24"/>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next w:val="15"/>
    <w:pPr>
      <w:widowControl w:val="0"/>
      <w:spacing w:before="100" w:beforeAutospacing="1" w:after="100" w:afterAutospacing="1" w:line="240" w:lineRule="auto"/>
      <w:jc w:val="left"/>
    </w:pPr>
    <w:rPr>
      <w:rFonts w:ascii="宋体" w:eastAsia="宋体" w:cs="永中宋体"/>
      <w:kern w:val="2"/>
      <w:sz w:val="24"/>
      <w:szCs w:val="21"/>
      <w:lang w:val="en-US" w:eastAsia="zh-CN" w:bidi="ar-SA"/>
    </w:rPr>
  </w:style>
  <w:style w:type="character" w:styleId="19">
    <w:name w:val="page number"/>
    <w:basedOn w:val="10"/>
  </w:style>
  <w:style w:type="character" w:styleId="20">
    <w:name w:val="FollowedHyperlink"/>
    <w:basedOn w:val="10"/>
    <w:rPr>
      <w:color w:val="auto"/>
      <w:u w:val="none"/>
    </w:rPr>
  </w:style>
  <w:style w:type="character" w:styleId="21">
    <w:name w:val="Emphasis"/>
    <w:basedOn w:val="10"/>
  </w:style>
  <w:style w:type="character" w:styleId="22">
    <w:name w:val="Hyperlink"/>
    <w:basedOn w:val="10"/>
    <w:rPr>
      <w:color w:val="auto"/>
      <w:u w:val="none"/>
    </w:rPr>
  </w:style>
  <w:style w:type="character" w:styleId="23">
    <w:name w:val="HTML Code"/>
    <w:basedOn w:val="10"/>
    <w:rPr>
      <w:rFonts w:ascii="宋体" w:eastAsia="宋体" w:cs="宋体"/>
      <w:sz w:val="24"/>
      <w:szCs w:val="24"/>
    </w:rPr>
  </w:style>
  <w:style w:type="character" w:styleId="24">
    <w:name w:val="HTML Cite"/>
    <w:basedOn w:val="10"/>
  </w:style>
  <w:style w:type="paragraph" w:customStyle="1" w:styleId="25">
    <w:name w:val="xl_titel"/>
    <w:basedOn w:val="0"/>
    <w:pPr>
      <w:widowControl/>
      <w:spacing w:before="100" w:beforeAutospacing="1" w:after="100" w:afterAutospacing="1"/>
      <w:jc w:val="left"/>
    </w:pPr>
    <w:rPr>
      <w:rFonts w:ascii="宋体" w:cs="宋体"/>
      <w:kern w:val="0"/>
      <w:sz w:val="36"/>
      <w:szCs w:val="36"/>
    </w:rPr>
  </w:style>
  <w:style w:type="paragraph" w:customStyle="1" w:styleId="26">
    <w:name w:val="tr_color_1"/>
    <w:basedOn w:val="0"/>
    <w:pPr>
      <w:widowControl/>
      <w:shd w:val="clear" w:color="auto" w:fill="F7F7F7"/>
      <w:spacing w:before="100" w:beforeAutospacing="1" w:after="100" w:afterAutospacing="1"/>
      <w:jc w:val="left"/>
    </w:pPr>
    <w:rPr>
      <w:rFonts w:ascii="宋体" w:cs="宋体"/>
      <w:kern w:val="0"/>
      <w:sz w:val="24"/>
      <w:szCs w:val="24"/>
    </w:rPr>
  </w:style>
  <w:style w:type="paragraph" w:customStyle="1" w:styleId="27">
    <w:name w:val="martop9"/>
    <w:basedOn w:val="0"/>
    <w:pPr>
      <w:widowControl/>
      <w:spacing w:before="135" w:after="100" w:afterAutospacing="1"/>
      <w:jc w:val="left"/>
    </w:pPr>
    <w:rPr>
      <w:rFonts w:ascii="宋体" w:cs="宋体"/>
      <w:kern w:val="0"/>
      <w:sz w:val="24"/>
      <w:szCs w:val="24"/>
    </w:rPr>
  </w:style>
  <w:style w:type="paragraph" w:customStyle="1" w:styleId="28">
    <w:name w:val="smooth-box1"/>
    <w:basedOn w:val="0"/>
    <w:pPr>
      <w:widowControl/>
      <w:spacing w:before="100" w:beforeAutospacing="1" w:after="100" w:afterAutospacing="1"/>
      <w:jc w:val="right"/>
    </w:pPr>
    <w:rPr>
      <w:rFonts w:ascii="宋体" w:cs="宋体"/>
      <w:kern w:val="0"/>
      <w:sz w:val="24"/>
      <w:szCs w:val="24"/>
    </w:rPr>
  </w:style>
  <w:style w:type="paragraph" w:customStyle="1" w:styleId="29">
    <w:name w:val="cf14"/>
    <w:basedOn w:val="0"/>
    <w:pPr>
      <w:widowControl/>
      <w:spacing w:before="100" w:beforeAutospacing="1" w:after="100" w:afterAutospacing="1"/>
      <w:jc w:val="left"/>
    </w:pPr>
    <w:rPr>
      <w:rFonts w:ascii="宋体" w:cs="宋体"/>
      <w:kern w:val="0"/>
    </w:rPr>
  </w:style>
  <w:style w:type="paragraph" w:customStyle="1" w:styleId="30">
    <w:name w:val="hj-easyread-icons1"/>
    <w:basedOn w:val="0"/>
    <w:pPr>
      <w:widowControl/>
      <w:spacing w:before="100" w:beforeAutospacing="1" w:after="100" w:afterAutospacing="1"/>
      <w:jc w:val="left"/>
    </w:pPr>
    <w:rPr>
      <w:rFonts w:ascii="宋体" w:cs="宋体"/>
      <w:kern w:val="0"/>
      <w:sz w:val="24"/>
      <w:szCs w:val="24"/>
    </w:rPr>
  </w:style>
  <w:style w:type="paragraph" w:customStyle="1" w:styleId="31">
    <w:name w:val="w9801"/>
    <w:basedOn w:val="0"/>
    <w:pPr>
      <w:widowControl/>
      <w:jc w:val="left"/>
    </w:pPr>
    <w:rPr>
      <w:rFonts w:ascii="宋体" w:cs="宋体"/>
      <w:kern w:val="0"/>
      <w:sz w:val="24"/>
      <w:szCs w:val="24"/>
    </w:rPr>
  </w:style>
  <w:style w:type="paragraph" w:customStyle="1" w:styleId="32">
    <w:name w:val="vm"/>
    <w:basedOn w:val="0"/>
    <w:pPr>
      <w:widowControl/>
      <w:spacing w:before="100" w:beforeAutospacing="1" w:after="100" w:afterAutospacing="1"/>
      <w:jc w:val="left"/>
      <w:textAlignment w:val="center"/>
    </w:pPr>
    <w:rPr>
      <w:rFonts w:ascii="宋体" w:cs="宋体"/>
      <w:kern w:val="0"/>
      <w:sz w:val="24"/>
      <w:szCs w:val="24"/>
    </w:rPr>
  </w:style>
  <w:style w:type="paragraph" w:customStyle="1" w:styleId="33">
    <w:name w:val="xl_con"/>
    <w:basedOn w:val="0"/>
    <w:pPr>
      <w:widowControl/>
      <w:spacing w:before="100" w:beforeAutospacing="1" w:after="100" w:afterAutospacing="1" w:line="450" w:lineRule="atLeast"/>
      <w:jc w:val="left"/>
    </w:pPr>
    <w:rPr>
      <w:rFonts w:ascii="宋体" w:cs="宋体"/>
      <w:kern w:val="0"/>
    </w:rPr>
  </w:style>
  <w:style w:type="paragraph" w:customStyle="1" w:styleId="34">
    <w:name w:val="smooth"/>
    <w:basedOn w:val="0"/>
    <w:pPr>
      <w:widowControl/>
      <w:spacing w:before="100" w:beforeAutospacing="1" w:after="100" w:afterAutospacing="1"/>
      <w:jc w:val="left"/>
    </w:pPr>
    <w:rPr>
      <w:rFonts w:ascii="宋体" w:cs="宋体"/>
      <w:kern w:val="0"/>
      <w:sz w:val="24"/>
      <w:szCs w:val="24"/>
    </w:rPr>
  </w:style>
  <w:style w:type="paragraph" w:customStyle="1" w:styleId="35">
    <w:name w:val="gsgg"/>
    <w:basedOn w:val="0"/>
    <w:pPr>
      <w:widowControl/>
      <w:spacing w:before="100" w:beforeAutospacing="1" w:after="100" w:afterAutospacing="1"/>
      <w:jc w:val="left"/>
    </w:pPr>
    <w:rPr>
      <w:rFonts w:ascii="宋体" w:cs="宋体"/>
      <w:kern w:val="0"/>
      <w:sz w:val="24"/>
      <w:szCs w:val="24"/>
    </w:rPr>
  </w:style>
  <w:style w:type="paragraph" w:customStyle="1" w:styleId="36">
    <w:name w:val="smooth-lf1"/>
    <w:basedOn w:val="0"/>
    <w:pPr>
      <w:widowControl/>
      <w:spacing w:before="100" w:beforeAutospacing="1" w:after="100" w:afterAutospacing="1"/>
      <w:jc w:val="left"/>
    </w:pPr>
    <w:rPr>
      <w:rFonts w:ascii="宋体" w:cs="宋体"/>
      <w:kern w:val="0"/>
      <w:sz w:val="24"/>
      <w:szCs w:val="24"/>
    </w:rPr>
  </w:style>
  <w:style w:type="paragraph" w:customStyle="1" w:styleId="37">
    <w:name w:val="date"/>
    <w:basedOn w:val="0"/>
    <w:pPr>
      <w:widowControl/>
      <w:spacing w:before="100" w:beforeAutospacing="1" w:after="100" w:afterAutospacing="1"/>
      <w:jc w:val="left"/>
    </w:pPr>
    <w:rPr>
      <w:rFonts w:ascii="宋体" w:cs="宋体"/>
      <w:kern w:val="0"/>
      <w:sz w:val="24"/>
      <w:szCs w:val="24"/>
    </w:rPr>
  </w:style>
  <w:style w:type="paragraph" w:customStyle="1" w:styleId="38">
    <w:name w:val="tab"/>
    <w:basedOn w:val="0"/>
    <w:pPr>
      <w:widowControl/>
      <w:spacing w:before="100" w:beforeAutospacing="1" w:after="100" w:afterAutospacing="1"/>
      <w:jc w:val="left"/>
    </w:pPr>
    <w:rPr>
      <w:rFonts w:ascii="宋体" w:cs="宋体"/>
      <w:kern w:val="0"/>
      <w:sz w:val="24"/>
      <w:szCs w:val="24"/>
    </w:rPr>
  </w:style>
  <w:style w:type="paragraph" w:customStyle="1" w:styleId="39">
    <w:name w:val="newsbox"/>
    <w:basedOn w:val="0"/>
    <w:pPr>
      <w:widowControl/>
      <w:shd w:val="clear" w:color="auto" w:fill="FFFFFF"/>
      <w:spacing w:before="100" w:beforeAutospacing="1" w:after="100" w:afterAutospacing="1"/>
      <w:jc w:val="left"/>
    </w:pPr>
    <w:rPr>
      <w:rFonts w:ascii="宋体" w:cs="宋体"/>
      <w:kern w:val="0"/>
      <w:sz w:val="24"/>
      <w:szCs w:val="24"/>
    </w:rPr>
  </w:style>
  <w:style w:type="paragraph" w:customStyle="1" w:styleId="40">
    <w:name w:val="newspic1"/>
    <w:basedOn w:val="0"/>
    <w:pPr>
      <w:widowControl/>
      <w:spacing w:before="100" w:beforeAutospacing="1" w:after="100" w:afterAutospacing="1"/>
      <w:jc w:val="left"/>
    </w:pPr>
    <w:rPr>
      <w:rFonts w:ascii="宋体" w:cs="宋体"/>
      <w:kern w:val="0"/>
      <w:sz w:val="24"/>
      <w:szCs w:val="24"/>
    </w:rPr>
  </w:style>
  <w:style w:type="paragraph" w:customStyle="1" w:styleId="41">
    <w:name w:val="tipscontrol-btn"/>
    <w:basedOn w:val="0"/>
    <w:pPr>
      <w:widowControl/>
      <w:spacing w:before="100" w:beforeAutospacing="1" w:after="100" w:afterAutospacing="1"/>
      <w:jc w:val="left"/>
    </w:pPr>
    <w:rPr>
      <w:rFonts w:ascii="宋体" w:cs="宋体"/>
      <w:kern w:val="0"/>
      <w:sz w:val="24"/>
      <w:szCs w:val="24"/>
    </w:rPr>
  </w:style>
  <w:style w:type="paragraph" w:customStyle="1" w:styleId="42">
    <w:name w:val="zwgk_top"/>
    <w:basedOn w:val="0"/>
    <w:pPr>
      <w:widowControl/>
      <w:spacing w:before="100" w:beforeAutospacing="1" w:after="100" w:afterAutospacing="1"/>
      <w:jc w:val="left"/>
    </w:pPr>
    <w:rPr>
      <w:rFonts w:ascii="宋体" w:cs="宋体"/>
      <w:kern w:val="0"/>
      <w:sz w:val="24"/>
      <w:szCs w:val="24"/>
    </w:rPr>
  </w:style>
  <w:style w:type="paragraph" w:customStyle="1" w:styleId="43">
    <w:name w:val="bsfw_top_titel"/>
    <w:basedOn w:val="0"/>
    <w:pPr>
      <w:widowControl/>
      <w:spacing w:before="100" w:beforeAutospacing="1" w:after="100" w:afterAutospacing="1"/>
      <w:jc w:val="left"/>
    </w:pPr>
    <w:rPr>
      <w:rFonts w:ascii="宋体" w:cs="宋体"/>
      <w:kern w:val="0"/>
      <w:sz w:val="24"/>
      <w:szCs w:val="24"/>
    </w:rPr>
  </w:style>
  <w:style w:type="paragraph" w:customStyle="1" w:styleId="44">
    <w:name w:val="hj-easyread-sider-btns-item"/>
    <w:basedOn w:val="0"/>
    <w:pPr>
      <w:widowControl/>
      <w:spacing w:before="100" w:beforeAutospacing="1" w:after="100" w:afterAutospacing="1"/>
      <w:jc w:val="left"/>
    </w:pPr>
    <w:rPr>
      <w:rFonts w:ascii="宋体" w:cs="宋体"/>
      <w:kern w:val="0"/>
      <w:sz w:val="24"/>
      <w:szCs w:val="24"/>
    </w:rPr>
  </w:style>
  <w:style w:type="paragraph" w:customStyle="1" w:styleId="45">
    <w:name w:val="leftline"/>
    <w:basedOn w:val="0"/>
    <w:pPr>
      <w:widowControl/>
      <w:spacing w:before="100" w:beforeAutospacing="1" w:after="100" w:afterAutospacing="1"/>
      <w:jc w:val="left"/>
    </w:pPr>
    <w:rPr>
      <w:rFonts w:ascii="宋体" w:cs="宋体"/>
      <w:kern w:val="0"/>
      <w:sz w:val="24"/>
      <w:szCs w:val="24"/>
    </w:rPr>
  </w:style>
  <w:style w:type="paragraph" w:customStyle="1" w:styleId="46">
    <w:name w:val="gsgg1"/>
    <w:basedOn w:val="0"/>
    <w:pPr>
      <w:widowControl/>
      <w:spacing w:before="100" w:beforeAutospacing="1" w:after="100" w:afterAutospacing="1"/>
      <w:jc w:val="left"/>
    </w:pPr>
    <w:rPr>
      <w:rFonts w:ascii="宋体" w:cs="宋体"/>
      <w:kern w:val="0"/>
      <w:sz w:val="24"/>
      <w:szCs w:val="24"/>
    </w:rPr>
  </w:style>
  <w:style w:type="paragraph" w:customStyle="1" w:styleId="47">
    <w:name w:val="newspic"/>
    <w:basedOn w:val="0"/>
    <w:pPr>
      <w:widowControl/>
      <w:spacing w:before="100" w:beforeAutospacing="1" w:after="100" w:afterAutospacing="1"/>
      <w:jc w:val="left"/>
    </w:pPr>
    <w:rPr>
      <w:rFonts w:ascii="宋体" w:cs="宋体"/>
      <w:kern w:val="0"/>
      <w:sz w:val="24"/>
      <w:szCs w:val="24"/>
    </w:rPr>
  </w:style>
  <w:style w:type="paragraph" w:customStyle="1" w:styleId="48">
    <w:name w:val="grid1"/>
    <w:basedOn w:val="0"/>
    <w:pPr>
      <w:widowControl/>
      <w:pBdr>
        <w:top w:val="single" w:sz="6" w:space="2" w:color="DDDDDD"/>
        <w:left w:val="single" w:sz="6" w:space="2" w:color="DDDDDD"/>
        <w:bottom w:val="single" w:sz="6" w:space="2" w:color="DDDDDD"/>
        <w:right w:val="single" w:sz="6" w:space="2" w:color="DDDDDD"/>
      </w:pBdr>
      <w:jc w:val="left"/>
    </w:pPr>
    <w:rPr>
      <w:rFonts w:ascii="宋体" w:cs="宋体"/>
      <w:kern w:val="0"/>
      <w:sz w:val="24"/>
      <w:szCs w:val="24"/>
    </w:rPr>
  </w:style>
  <w:style w:type="paragraph" w:customStyle="1" w:styleId="49">
    <w:name w:val="top_tab"/>
    <w:basedOn w:val="0"/>
    <w:pPr>
      <w:widowControl/>
      <w:spacing w:before="100" w:beforeAutospacing="1" w:after="100" w:afterAutospacing="1"/>
      <w:jc w:val="left"/>
    </w:pPr>
    <w:rPr>
      <w:rFonts w:ascii="宋体" w:cs="宋体"/>
      <w:kern w:val="0"/>
      <w:sz w:val="24"/>
      <w:szCs w:val="24"/>
    </w:rPr>
  </w:style>
  <w:style w:type="paragraph" w:customStyle="1" w:styleId="50">
    <w:name w:val="top_clear10"/>
    <w:basedOn w:val="0"/>
    <w:pPr>
      <w:widowControl/>
      <w:spacing w:before="100" w:beforeAutospacing="1" w:after="100" w:afterAutospacing="1"/>
      <w:jc w:val="left"/>
    </w:pPr>
    <w:rPr>
      <w:rFonts w:ascii="宋体" w:cs="宋体"/>
      <w:kern w:val="0"/>
      <w:sz w:val="24"/>
      <w:szCs w:val="24"/>
    </w:rPr>
  </w:style>
  <w:style w:type="paragraph" w:customStyle="1" w:styleId="51">
    <w:name w:val="bs_tab_bar"/>
    <w:basedOn w:val="0"/>
    <w:pPr>
      <w:widowControl/>
      <w:spacing w:before="100" w:beforeAutospacing="1" w:after="100" w:afterAutospacing="1" w:line="465" w:lineRule="atLeast"/>
      <w:jc w:val="left"/>
    </w:pPr>
    <w:rPr>
      <w:rFonts w:ascii="宋体" w:cs="宋体"/>
      <w:b/>
      <w:bCs/>
      <w:color w:val="CC0000"/>
      <w:kern w:val="0"/>
    </w:rPr>
  </w:style>
  <w:style w:type="paragraph" w:customStyle="1" w:styleId="52">
    <w:name w:val="rightline1"/>
    <w:basedOn w:val="0"/>
    <w:pPr>
      <w:widowControl/>
      <w:spacing w:before="100" w:beforeAutospacing="1" w:after="100" w:afterAutospacing="1"/>
      <w:jc w:val="left"/>
    </w:pPr>
    <w:rPr>
      <w:rFonts w:ascii="宋体" w:cs="宋体"/>
      <w:kern w:val="0"/>
      <w:sz w:val="24"/>
      <w:szCs w:val="24"/>
    </w:rPr>
  </w:style>
  <w:style w:type="paragraph" w:customStyle="1" w:styleId="53">
    <w:name w:val="cwhite"/>
    <w:basedOn w:val="0"/>
    <w:pPr>
      <w:widowControl/>
      <w:spacing w:before="100" w:beforeAutospacing="1" w:after="100" w:afterAutospacing="1"/>
      <w:jc w:val="left"/>
    </w:pPr>
    <w:rPr>
      <w:rFonts w:ascii="宋体" w:cs="宋体"/>
      <w:color w:val="FFFFFF"/>
      <w:kern w:val="0"/>
      <w:sz w:val="24"/>
      <w:szCs w:val="24"/>
    </w:rPr>
  </w:style>
  <w:style w:type="paragraph" w:customStyle="1" w:styleId="54">
    <w:name w:val="List Paragraph"/>
    <w:basedOn w:val="0"/>
    <w:pPr>
      <w:ind w:firstLineChars="200" w:firstLine="200"/>
    </w:pPr>
  </w:style>
  <w:style w:type="paragraph" w:customStyle="1" w:styleId="55">
    <w:name w:val="current1"/>
    <w:basedOn w:val="0"/>
    <w:pPr>
      <w:widowControl/>
      <w:spacing w:before="100" w:beforeAutospacing="1" w:after="100" w:afterAutospacing="1"/>
      <w:jc w:val="left"/>
    </w:pPr>
    <w:rPr>
      <w:rFonts w:ascii="宋体" w:cs="宋体"/>
      <w:kern w:val="0"/>
      <w:sz w:val="24"/>
      <w:szCs w:val="24"/>
    </w:rPr>
  </w:style>
  <w:style w:type="paragraph" w:customStyle="1" w:styleId="56">
    <w:name w:val="link_line"/>
    <w:basedOn w:val="0"/>
    <w:pPr>
      <w:widowControl/>
      <w:pBdr>
        <w:bottom w:val="single" w:sz="18" w:space="0" w:color="CC0000"/>
      </w:pBdr>
      <w:spacing w:before="100" w:beforeAutospacing="1" w:after="100" w:afterAutospacing="1"/>
      <w:jc w:val="left"/>
    </w:pPr>
    <w:rPr>
      <w:rFonts w:ascii="宋体" w:cs="宋体"/>
      <w:kern w:val="0"/>
      <w:sz w:val="24"/>
      <w:szCs w:val="24"/>
    </w:rPr>
  </w:style>
  <w:style w:type="paragraph" w:customStyle="1" w:styleId="57">
    <w:name w:val="zwgk_right_nav"/>
    <w:basedOn w:val="0"/>
    <w:pPr>
      <w:widowControl/>
      <w:spacing w:before="100" w:beforeAutospacing="1" w:after="100" w:afterAutospacing="1" w:line="525" w:lineRule="atLeast"/>
      <w:jc w:val="center"/>
    </w:pPr>
    <w:rPr>
      <w:rFonts w:ascii="宋体" w:cs="宋体"/>
      <w:color w:val="AD0606"/>
      <w:kern w:val="0"/>
      <w:sz w:val="24"/>
      <w:szCs w:val="24"/>
    </w:rPr>
  </w:style>
  <w:style w:type="paragraph" w:customStyle="1" w:styleId="58">
    <w:name w:val="titlefont1"/>
    <w:basedOn w:val="0"/>
    <w:pPr>
      <w:widowControl/>
      <w:spacing w:before="100" w:beforeAutospacing="1" w:after="100" w:afterAutospacing="1" w:line="525" w:lineRule="atLeast"/>
      <w:jc w:val="center"/>
    </w:pPr>
    <w:rPr>
      <w:rFonts w:ascii="宋体" w:cs="宋体"/>
      <w:color w:val="7A531C"/>
      <w:kern w:val="0"/>
      <w:sz w:val="18"/>
      <w:szCs w:val="18"/>
    </w:rPr>
  </w:style>
  <w:style w:type="paragraph" w:customStyle="1" w:styleId="59">
    <w:name w:val="top_nav"/>
    <w:basedOn w:val="0"/>
    <w:pPr>
      <w:widowControl/>
      <w:shd w:val="clear" w:color="auto" w:fill="CC1C1E"/>
      <w:spacing w:before="100" w:beforeAutospacing="1" w:after="100" w:afterAutospacing="1"/>
      <w:jc w:val="left"/>
    </w:pPr>
    <w:rPr>
      <w:rFonts w:ascii="宋体" w:cs="宋体"/>
      <w:kern w:val="0"/>
      <w:sz w:val="24"/>
      <w:szCs w:val="24"/>
    </w:rPr>
  </w:style>
  <w:style w:type="paragraph" w:customStyle="1" w:styleId="60">
    <w:name w:val="bs_btn"/>
    <w:basedOn w:val="0"/>
    <w:pPr>
      <w:widowControl/>
      <w:spacing w:before="100" w:beforeAutospacing="1" w:after="100" w:afterAutospacing="1"/>
      <w:jc w:val="left"/>
    </w:pPr>
    <w:rPr>
      <w:rFonts w:ascii="宋体" w:cs="宋体"/>
      <w:kern w:val="0"/>
      <w:sz w:val="24"/>
      <w:szCs w:val="24"/>
    </w:rPr>
  </w:style>
  <w:style w:type="paragraph" w:customStyle="1" w:styleId="61">
    <w:name w:val="zwgk_nav3"/>
    <w:basedOn w:val="0"/>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cs="宋体"/>
      <w:kern w:val="0"/>
      <w:sz w:val="24"/>
      <w:szCs w:val="24"/>
    </w:rPr>
  </w:style>
  <w:style w:type="paragraph" w:customStyle="1" w:styleId="62">
    <w:name w:val="newsconcent"/>
    <w:basedOn w:val="0"/>
    <w:pPr>
      <w:widowControl/>
      <w:spacing w:before="150" w:after="100" w:afterAutospacing="1"/>
      <w:jc w:val="left"/>
    </w:pPr>
    <w:rPr>
      <w:rFonts w:ascii="宋体" w:cs="宋体"/>
      <w:kern w:val="0"/>
      <w:sz w:val="24"/>
      <w:szCs w:val="24"/>
    </w:rPr>
  </w:style>
  <w:style w:type="paragraph" w:customStyle="1" w:styleId="63">
    <w:name w:val="zwgk_nav5"/>
    <w:basedOn w:val="0"/>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cs="宋体"/>
      <w:kern w:val="0"/>
      <w:sz w:val="24"/>
      <w:szCs w:val="24"/>
    </w:rPr>
  </w:style>
  <w:style w:type="paragraph" w:customStyle="1" w:styleId="64">
    <w:name w:val="leftline1"/>
    <w:basedOn w:val="0"/>
    <w:pPr>
      <w:widowControl/>
      <w:spacing w:before="100" w:beforeAutospacing="1" w:after="100" w:afterAutospacing="1"/>
      <w:jc w:val="left"/>
    </w:pPr>
    <w:rPr>
      <w:rFonts w:ascii="宋体" w:cs="宋体"/>
      <w:kern w:val="0"/>
      <w:sz w:val="24"/>
      <w:szCs w:val="24"/>
    </w:rPr>
  </w:style>
  <w:style w:type="paragraph" w:customStyle="1" w:styleId="65">
    <w:name w:val="returntotop-btn1"/>
    <w:basedOn w:val="0"/>
    <w:pPr>
      <w:widowControl/>
      <w:spacing w:before="100" w:beforeAutospacing="1" w:after="100" w:afterAutospacing="1" w:line="17536" w:lineRule="exact"/>
      <w:jc w:val="left"/>
    </w:pPr>
    <w:rPr>
      <w:rFonts w:ascii="宋体" w:cs="宋体"/>
      <w:kern w:val="0"/>
      <w:sz w:val="2"/>
      <w:szCs w:val="2"/>
    </w:rPr>
  </w:style>
  <w:style w:type="paragraph" w:customStyle="1" w:styleId="66">
    <w:name w:val="xwsd1"/>
    <w:basedOn w:val="0"/>
    <w:pPr>
      <w:widowControl/>
      <w:spacing w:before="100" w:beforeAutospacing="1" w:after="100" w:afterAutospacing="1"/>
      <w:jc w:val="left"/>
    </w:pPr>
    <w:rPr>
      <w:rFonts w:ascii="宋体" w:cs="宋体"/>
      <w:kern w:val="0"/>
      <w:sz w:val="24"/>
      <w:szCs w:val="24"/>
    </w:rPr>
  </w:style>
  <w:style w:type="paragraph" w:customStyle="1" w:styleId="67">
    <w:name w:val="tabmore"/>
    <w:basedOn w:val="0"/>
    <w:pPr>
      <w:widowControl/>
      <w:spacing w:before="100" w:beforeAutospacing="1" w:after="100" w:afterAutospacing="1" w:line="450" w:lineRule="atLeast"/>
      <w:jc w:val="left"/>
    </w:pPr>
    <w:rPr>
      <w:rFonts w:ascii="宋体" w:cs="宋体"/>
      <w:kern w:val="0"/>
      <w:sz w:val="24"/>
      <w:szCs w:val="24"/>
    </w:rPr>
  </w:style>
  <w:style w:type="paragraph" w:customStyle="1" w:styleId="68">
    <w:name w:val="newslist_red"/>
    <w:basedOn w:val="0"/>
    <w:pPr>
      <w:widowControl/>
      <w:pBdr>
        <w:bottom w:val="single" w:sz="12" w:space="0" w:color="CC0000"/>
      </w:pBdr>
      <w:spacing w:before="100" w:beforeAutospacing="1" w:after="100" w:afterAutospacing="1" w:line="525" w:lineRule="atLeast"/>
      <w:jc w:val="center"/>
    </w:pPr>
    <w:rPr>
      <w:rFonts w:ascii="宋体" w:cs="宋体"/>
      <w:color w:val="AD0606"/>
      <w:kern w:val="0"/>
    </w:rPr>
  </w:style>
  <w:style w:type="paragraph" w:customStyle="1" w:styleId="69">
    <w:name w:val="navmenu"/>
    <w:basedOn w:val="0"/>
    <w:pPr>
      <w:widowControl/>
      <w:spacing w:before="100" w:beforeAutospacing="1" w:after="100" w:afterAutospacing="1"/>
      <w:jc w:val="left"/>
    </w:pPr>
    <w:rPr>
      <w:rFonts w:ascii="宋体" w:cs="宋体"/>
      <w:kern w:val="0"/>
      <w:sz w:val="24"/>
      <w:szCs w:val="24"/>
    </w:rPr>
  </w:style>
  <w:style w:type="paragraph" w:customStyle="1" w:styleId="70">
    <w:name w:val="hj-easyread-smoothtips"/>
    <w:basedOn w:val="0"/>
    <w:pPr>
      <w:widowControl/>
      <w:shd w:val="clear" w:color="auto" w:fill="DEDEDE"/>
      <w:spacing w:before="100" w:beforeAutospacing="1" w:after="100" w:afterAutospacing="1"/>
      <w:jc w:val="left"/>
    </w:pPr>
    <w:rPr>
      <w:rFonts w:ascii="宋体" w:cs="宋体"/>
      <w:kern w:val="0"/>
      <w:sz w:val="24"/>
      <w:szCs w:val="24"/>
    </w:rPr>
  </w:style>
  <w:style w:type="paragraph" w:customStyle="1" w:styleId="71">
    <w:name w:val="line"/>
    <w:basedOn w:val="0"/>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cs="宋体"/>
      <w:kern w:val="0"/>
      <w:sz w:val="24"/>
      <w:szCs w:val="24"/>
    </w:rPr>
  </w:style>
  <w:style w:type="paragraph" w:customStyle="1" w:styleId="72">
    <w:name w:val="zwgk_right_nav1"/>
    <w:basedOn w:val="0"/>
    <w:pPr>
      <w:widowControl/>
      <w:spacing w:before="100" w:beforeAutospacing="1" w:after="100" w:afterAutospacing="1" w:line="525" w:lineRule="atLeast"/>
      <w:jc w:val="center"/>
    </w:pPr>
    <w:rPr>
      <w:rFonts w:ascii="宋体" w:cs="宋体"/>
      <w:kern w:val="0"/>
      <w:sz w:val="24"/>
      <w:szCs w:val="24"/>
    </w:rPr>
  </w:style>
  <w:style w:type="paragraph" w:customStyle="1" w:styleId="73">
    <w:name w:val="search1"/>
    <w:basedOn w:val="0"/>
    <w:pPr>
      <w:widowControl/>
      <w:spacing w:line="660" w:lineRule="atLeast"/>
      <w:jc w:val="left"/>
    </w:pPr>
    <w:rPr>
      <w:rFonts w:ascii="宋体" w:cs="宋体"/>
      <w:kern w:val="0"/>
      <w:sz w:val="24"/>
      <w:szCs w:val="24"/>
    </w:rPr>
  </w:style>
  <w:style w:type="paragraph" w:customStyle="1" w:styleId="74">
    <w:name w:val="rightnews1"/>
    <w:basedOn w:val="0"/>
    <w:pPr>
      <w:widowControl/>
      <w:spacing w:before="100" w:beforeAutospacing="1" w:after="100" w:afterAutospacing="1"/>
      <w:ind w:left="180"/>
      <w:jc w:val="left"/>
    </w:pPr>
    <w:rPr>
      <w:rFonts w:ascii="宋体" w:cs="宋体"/>
      <w:kern w:val="0"/>
      <w:sz w:val="24"/>
      <w:szCs w:val="24"/>
    </w:rPr>
  </w:style>
  <w:style w:type="paragraph" w:customStyle="1" w:styleId="75">
    <w:name w:val="line_top_red"/>
    <w:basedOn w:val="0"/>
    <w:pPr>
      <w:widowControl/>
      <w:pBdr>
        <w:top w:val="single" w:sz="12" w:space="0" w:color="CC0000"/>
      </w:pBdr>
      <w:spacing w:before="100" w:beforeAutospacing="1" w:after="100" w:afterAutospacing="1"/>
      <w:jc w:val="left"/>
    </w:pPr>
    <w:rPr>
      <w:rFonts w:ascii="宋体" w:cs="宋体"/>
      <w:kern w:val="0"/>
      <w:sz w:val="24"/>
      <w:szCs w:val="24"/>
    </w:rPr>
  </w:style>
  <w:style w:type="paragraph" w:customStyle="1" w:styleId="76">
    <w:name w:val="ymzc_top_titel"/>
    <w:basedOn w:val="0"/>
    <w:pPr>
      <w:widowControl/>
      <w:spacing w:before="100" w:beforeAutospacing="1" w:after="100" w:afterAutospacing="1"/>
      <w:jc w:val="left"/>
    </w:pPr>
    <w:rPr>
      <w:rFonts w:ascii="宋体" w:cs="宋体"/>
      <w:kern w:val="0"/>
      <w:sz w:val="24"/>
      <w:szCs w:val="24"/>
    </w:rPr>
  </w:style>
  <w:style w:type="paragraph" w:customStyle="1" w:styleId="77">
    <w:name w:val="marleft20"/>
    <w:basedOn w:val="0"/>
    <w:pPr>
      <w:widowControl/>
      <w:spacing w:before="100" w:beforeAutospacing="1" w:after="100" w:afterAutospacing="1"/>
      <w:ind w:left="300"/>
      <w:jc w:val="left"/>
    </w:pPr>
    <w:rPr>
      <w:rFonts w:ascii="宋体" w:cs="宋体"/>
      <w:kern w:val="0"/>
      <w:sz w:val="24"/>
      <w:szCs w:val="24"/>
    </w:rPr>
  </w:style>
  <w:style w:type="paragraph" w:customStyle="1" w:styleId="78">
    <w:name w:val="smooth-box"/>
    <w:basedOn w:val="0"/>
    <w:pPr>
      <w:widowControl/>
      <w:spacing w:before="100" w:beforeAutospacing="1" w:after="100" w:afterAutospacing="1"/>
      <w:jc w:val="left"/>
    </w:pPr>
    <w:rPr>
      <w:rFonts w:ascii="宋体" w:cs="宋体"/>
      <w:kern w:val="0"/>
      <w:sz w:val="24"/>
      <w:szCs w:val="24"/>
    </w:rPr>
  </w:style>
  <w:style w:type="paragraph" w:customStyle="1" w:styleId="79">
    <w:name w:val="w980"/>
    <w:basedOn w:val="0"/>
    <w:pPr>
      <w:widowControl/>
      <w:spacing w:before="100" w:beforeAutospacing="1" w:after="100" w:afterAutospacing="1"/>
      <w:jc w:val="left"/>
    </w:pPr>
    <w:rPr>
      <w:rFonts w:ascii="宋体" w:cs="宋体"/>
      <w:kern w:val="0"/>
      <w:sz w:val="24"/>
      <w:szCs w:val="24"/>
    </w:rPr>
  </w:style>
  <w:style w:type="paragraph" w:customStyle="1" w:styleId="80">
    <w:name w:val="hj-easyread-container"/>
    <w:basedOn w:val="0"/>
    <w:pPr>
      <w:widowControl/>
      <w:spacing w:before="100" w:beforeAutospacing="1" w:after="100" w:afterAutospacing="1"/>
      <w:jc w:val="left"/>
    </w:pPr>
    <w:rPr>
      <w:rFonts w:ascii="宋体" w:cs="宋体"/>
      <w:kern w:val="0"/>
      <w:sz w:val="24"/>
      <w:szCs w:val="24"/>
    </w:rPr>
  </w:style>
  <w:style w:type="paragraph" w:customStyle="1" w:styleId="81">
    <w:name w:val="line_3_solid"/>
    <w:basedOn w:val="0"/>
    <w:pPr>
      <w:widowControl/>
      <w:pBdr>
        <w:left w:val="single" w:sz="6" w:space="0" w:color="CCCCCC"/>
        <w:bottom w:val="single" w:sz="6" w:space="0" w:color="CCCCCC"/>
        <w:right w:val="single" w:sz="6" w:space="0" w:color="CCCCCC"/>
      </w:pBdr>
      <w:spacing w:before="100" w:beforeAutospacing="1" w:after="100" w:afterAutospacing="1"/>
      <w:jc w:val="left"/>
    </w:pPr>
    <w:rPr>
      <w:rFonts w:ascii="宋体" w:cs="宋体"/>
      <w:kern w:val="0"/>
      <w:sz w:val="24"/>
      <w:szCs w:val="24"/>
    </w:rPr>
  </w:style>
  <w:style w:type="paragraph" w:customStyle="1" w:styleId="82">
    <w:name w:val="fwym_top_titel"/>
    <w:basedOn w:val="0"/>
    <w:pPr>
      <w:widowControl/>
      <w:spacing w:before="100" w:beforeAutospacing="1" w:after="100" w:afterAutospacing="1"/>
      <w:jc w:val="left"/>
    </w:pPr>
    <w:rPr>
      <w:rFonts w:ascii="宋体" w:cs="宋体"/>
      <w:kern w:val="0"/>
      <w:sz w:val="24"/>
      <w:szCs w:val="24"/>
    </w:rPr>
  </w:style>
  <w:style w:type="paragraph" w:customStyle="1" w:styleId="83">
    <w:name w:val="navmenu1"/>
    <w:basedOn w:val="0"/>
    <w:pPr>
      <w:widowControl/>
      <w:spacing w:before="100" w:beforeAutospacing="1" w:after="100" w:afterAutospacing="1"/>
      <w:jc w:val="left"/>
    </w:pPr>
    <w:rPr>
      <w:rFonts w:ascii="宋体" w:cs="宋体"/>
      <w:kern w:val="0"/>
      <w:sz w:val="24"/>
      <w:szCs w:val="24"/>
    </w:rPr>
  </w:style>
  <w:style w:type="paragraph" w:customStyle="1" w:styleId="84">
    <w:name w:val="reader-word-layer"/>
    <w:basedOn w:val="0"/>
    <w:pPr>
      <w:widowControl/>
      <w:spacing w:before="100" w:beforeAutospacing="1" w:after="100" w:afterAutospacing="1"/>
      <w:jc w:val="left"/>
    </w:pPr>
    <w:rPr>
      <w:rFonts w:ascii="宋体" w:cs="宋体"/>
      <w:kern w:val="0"/>
      <w:sz w:val="24"/>
      <w:szCs w:val="24"/>
    </w:rPr>
  </w:style>
  <w:style w:type="paragraph" w:customStyle="1" w:styleId="85">
    <w:name w:val="hj-easyread-icons"/>
    <w:basedOn w:val="0"/>
    <w:pPr>
      <w:widowControl/>
      <w:spacing w:before="100" w:beforeAutospacing="1" w:after="100" w:afterAutospacing="1"/>
      <w:jc w:val="left"/>
    </w:pPr>
    <w:rPr>
      <w:rFonts w:ascii="宋体" w:cs="宋体"/>
      <w:kern w:val="0"/>
      <w:sz w:val="24"/>
      <w:szCs w:val="24"/>
    </w:rPr>
  </w:style>
  <w:style w:type="paragraph" w:customStyle="1" w:styleId="86">
    <w:name w:val="cgray"/>
    <w:basedOn w:val="0"/>
    <w:pPr>
      <w:widowControl/>
      <w:spacing w:before="100" w:beforeAutospacing="1" w:after="100" w:afterAutospacing="1"/>
      <w:jc w:val="left"/>
    </w:pPr>
    <w:rPr>
      <w:rFonts w:ascii="宋体" w:cs="宋体"/>
      <w:color w:val="999999"/>
      <w:kern w:val="0"/>
      <w:sz w:val="24"/>
      <w:szCs w:val="24"/>
    </w:rPr>
  </w:style>
  <w:style w:type="paragraph" w:customStyle="1" w:styleId="87">
    <w:name w:val="line_bottom_dotted"/>
    <w:basedOn w:val="0"/>
    <w:pPr>
      <w:widowControl/>
      <w:pBdr>
        <w:bottom w:val="dotted" w:sz="6" w:space="0" w:color="CCCCCC"/>
      </w:pBdr>
      <w:spacing w:before="100" w:beforeAutospacing="1" w:after="100" w:afterAutospacing="1"/>
      <w:jc w:val="left"/>
    </w:pPr>
    <w:rPr>
      <w:rFonts w:ascii="宋体" w:cs="宋体"/>
      <w:kern w:val="0"/>
      <w:sz w:val="24"/>
      <w:szCs w:val="24"/>
    </w:rPr>
  </w:style>
  <w:style w:type="paragraph" w:customStyle="1" w:styleId="88">
    <w:name w:val="hdfw_top_titel"/>
    <w:basedOn w:val="0"/>
    <w:pPr>
      <w:widowControl/>
      <w:spacing w:before="100" w:beforeAutospacing="1" w:after="100" w:afterAutospacing="1"/>
      <w:jc w:val="left"/>
    </w:pPr>
    <w:rPr>
      <w:rFonts w:ascii="宋体" w:cs="宋体"/>
      <w:kern w:val="0"/>
      <w:sz w:val="24"/>
      <w:szCs w:val="24"/>
    </w:rPr>
  </w:style>
  <w:style w:type="paragraph" w:customStyle="1" w:styleId="89">
    <w:name w:val="topbtn"/>
    <w:basedOn w:val="0"/>
    <w:pPr>
      <w:widowControl/>
      <w:spacing w:before="100" w:beforeAutospacing="1" w:after="100" w:afterAutospacing="1"/>
      <w:jc w:val="left"/>
    </w:pPr>
    <w:rPr>
      <w:rFonts w:ascii="宋体" w:cs="宋体"/>
      <w:kern w:val="0"/>
      <w:sz w:val="24"/>
      <w:szCs w:val="24"/>
    </w:rPr>
  </w:style>
  <w:style w:type="paragraph" w:customStyle="1" w:styleId="90">
    <w:name w:val="line_bottom_red"/>
    <w:basedOn w:val="0"/>
    <w:pPr>
      <w:widowControl/>
      <w:pBdr>
        <w:bottom w:val="single" w:sz="12" w:space="0" w:color="CC0000"/>
      </w:pBdr>
      <w:spacing w:before="100" w:beforeAutospacing="1" w:after="100" w:afterAutospacing="1"/>
      <w:jc w:val="left"/>
    </w:pPr>
    <w:rPr>
      <w:rFonts w:ascii="宋体" w:cs="宋体"/>
      <w:kern w:val="0"/>
      <w:sz w:val="24"/>
      <w:szCs w:val="24"/>
    </w:rPr>
  </w:style>
  <w:style w:type="paragraph" w:customStyle="1" w:styleId="91">
    <w:name w:val="banner"/>
    <w:basedOn w:val="0"/>
    <w:pPr>
      <w:widowControl/>
      <w:spacing w:before="100" w:beforeAutospacing="1" w:after="100" w:afterAutospacing="1"/>
      <w:jc w:val="left"/>
    </w:pPr>
    <w:rPr>
      <w:rFonts w:ascii="宋体" w:cs="宋体"/>
      <w:kern w:val="0"/>
      <w:sz w:val="24"/>
      <w:szCs w:val="24"/>
    </w:rPr>
  </w:style>
  <w:style w:type="paragraph" w:customStyle="1" w:styleId="92">
    <w:name w:val="line2"/>
    <w:basedOn w:val="0"/>
    <w:pPr>
      <w:widowControl/>
      <w:pBdr>
        <w:bottom w:val="dotted" w:sz="6" w:space="0" w:color="CCCCCC"/>
      </w:pBdr>
      <w:spacing w:before="100" w:beforeAutospacing="1" w:after="100" w:afterAutospacing="1"/>
      <w:jc w:val="left"/>
    </w:pPr>
    <w:rPr>
      <w:rFonts w:ascii="宋体" w:cs="宋体"/>
      <w:kern w:val="0"/>
      <w:sz w:val="24"/>
      <w:szCs w:val="24"/>
    </w:rPr>
  </w:style>
  <w:style w:type="paragraph" w:customStyle="1" w:styleId="93">
    <w:name w:val="smooth1"/>
    <w:basedOn w:val="0"/>
    <w:pPr>
      <w:widowControl/>
      <w:spacing w:before="100" w:beforeAutospacing="1" w:after="100" w:afterAutospacing="1"/>
      <w:jc w:val="left"/>
    </w:pPr>
    <w:rPr>
      <w:rFonts w:ascii="宋体" w:cs="宋体"/>
      <w:kern w:val="0"/>
      <w:sz w:val="24"/>
      <w:szCs w:val="24"/>
    </w:rPr>
  </w:style>
  <w:style w:type="paragraph" w:customStyle="1" w:styleId="94">
    <w:name w:val="xwsd"/>
    <w:basedOn w:val="0"/>
    <w:pPr>
      <w:widowControl/>
      <w:spacing w:before="100" w:beforeAutospacing="1" w:after="100" w:afterAutospacing="1"/>
      <w:jc w:val="left"/>
    </w:pPr>
    <w:rPr>
      <w:rFonts w:ascii="宋体" w:cs="宋体"/>
      <w:kern w:val="0"/>
      <w:sz w:val="24"/>
      <w:szCs w:val="24"/>
    </w:rPr>
  </w:style>
  <w:style w:type="paragraph" w:customStyle="1" w:styleId="95">
    <w:name w:val="zwgk"/>
    <w:basedOn w:val="0"/>
    <w:pPr>
      <w:widowControl/>
      <w:spacing w:before="100" w:beforeAutospacing="1" w:after="100" w:afterAutospacing="1"/>
      <w:jc w:val="left"/>
    </w:pPr>
    <w:rPr>
      <w:rFonts w:ascii="宋体" w:cs="宋体"/>
      <w:kern w:val="0"/>
      <w:sz w:val="24"/>
      <w:szCs w:val="24"/>
    </w:rPr>
  </w:style>
  <w:style w:type="paragraph" w:customStyle="1" w:styleId="96">
    <w:name w:val="titlefont"/>
    <w:basedOn w:val="0"/>
    <w:pPr>
      <w:widowControl/>
      <w:spacing w:before="100" w:beforeAutospacing="1" w:after="100" w:afterAutospacing="1"/>
      <w:jc w:val="left"/>
    </w:pPr>
    <w:rPr>
      <w:rFonts w:ascii="宋体" w:cs="宋体"/>
      <w:kern w:val="0"/>
      <w:sz w:val="24"/>
      <w:szCs w:val="24"/>
    </w:rPr>
  </w:style>
  <w:style w:type="paragraph" w:customStyle="1" w:styleId="97">
    <w:name w:val="nav"/>
    <w:basedOn w:val="0"/>
    <w:pPr>
      <w:widowControl/>
      <w:spacing w:before="100" w:beforeAutospacing="1" w:after="100" w:afterAutospacing="1" w:line="495" w:lineRule="atLeast"/>
      <w:jc w:val="left"/>
    </w:pPr>
    <w:rPr>
      <w:rFonts w:ascii="宋体" w:cs="宋体"/>
      <w:color w:val="FFFFFF"/>
      <w:kern w:val="0"/>
    </w:rPr>
  </w:style>
  <w:style w:type="paragraph" w:customStyle="1" w:styleId="98">
    <w:name w:val="search"/>
    <w:basedOn w:val="0"/>
    <w:pPr>
      <w:widowControl/>
      <w:spacing w:before="100" w:beforeAutospacing="1" w:after="100" w:afterAutospacing="1"/>
      <w:jc w:val="left"/>
    </w:pPr>
    <w:rPr>
      <w:rFonts w:ascii="宋体" w:cs="宋体"/>
      <w:kern w:val="0"/>
      <w:sz w:val="24"/>
      <w:szCs w:val="24"/>
    </w:rPr>
  </w:style>
  <w:style w:type="paragraph" w:customStyle="1" w:styleId="99">
    <w:name w:val="date1"/>
    <w:basedOn w:val="0"/>
    <w:pPr>
      <w:widowControl/>
      <w:spacing w:before="100" w:beforeAutospacing="1" w:after="100" w:afterAutospacing="1"/>
      <w:jc w:val="center"/>
    </w:pPr>
    <w:rPr>
      <w:rFonts w:ascii="宋体" w:cs="宋体"/>
      <w:kern w:val="0"/>
      <w:sz w:val="18"/>
      <w:szCs w:val="18"/>
    </w:rPr>
  </w:style>
  <w:style w:type="paragraph" w:customStyle="1" w:styleId="100">
    <w:name w:val="页脚1"/>
    <w:basedOn w:val="0"/>
    <w:pPr>
      <w:widowControl/>
      <w:spacing w:before="100" w:beforeAutospacing="1" w:after="100" w:afterAutospacing="1"/>
      <w:jc w:val="left"/>
    </w:pPr>
    <w:rPr>
      <w:rFonts w:ascii="宋体" w:cs="宋体"/>
      <w:kern w:val="0"/>
      <w:sz w:val="24"/>
      <w:szCs w:val="24"/>
    </w:rPr>
  </w:style>
  <w:style w:type="paragraph" w:customStyle="1" w:styleId="101">
    <w:name w:val="smooth-lf"/>
    <w:basedOn w:val="0"/>
    <w:pPr>
      <w:widowControl/>
      <w:spacing w:before="100" w:beforeAutospacing="1" w:after="100" w:afterAutospacing="1"/>
      <w:jc w:val="left"/>
    </w:pPr>
    <w:rPr>
      <w:rFonts w:ascii="宋体" w:cs="宋体"/>
      <w:kern w:val="0"/>
      <w:sz w:val="24"/>
      <w:szCs w:val="24"/>
    </w:rPr>
  </w:style>
  <w:style w:type="paragraph" w:customStyle="1" w:styleId="102">
    <w:name w:val="zwgk_top_titel"/>
    <w:basedOn w:val="0"/>
    <w:pPr>
      <w:widowControl/>
      <w:spacing w:before="100" w:beforeAutospacing="1" w:after="100" w:afterAutospacing="1"/>
      <w:jc w:val="left"/>
    </w:pPr>
    <w:rPr>
      <w:rFonts w:ascii="宋体" w:cs="宋体"/>
      <w:kern w:val="0"/>
      <w:sz w:val="24"/>
      <w:szCs w:val="24"/>
    </w:rPr>
  </w:style>
  <w:style w:type="paragraph" w:customStyle="1" w:styleId="103">
    <w:name w:val="returntotop-btn"/>
    <w:basedOn w:val="0"/>
    <w:pPr>
      <w:widowControl/>
      <w:spacing w:before="100" w:beforeAutospacing="1" w:after="100" w:afterAutospacing="1"/>
      <w:jc w:val="left"/>
    </w:pPr>
    <w:rPr>
      <w:rFonts w:ascii="宋体" w:cs="宋体"/>
      <w:kern w:val="0"/>
      <w:sz w:val="24"/>
      <w:szCs w:val="24"/>
    </w:rPr>
  </w:style>
  <w:style w:type="paragraph" w:customStyle="1" w:styleId="104">
    <w:name w:val="zwgk_left_top"/>
    <w:basedOn w:val="0"/>
    <w:pPr>
      <w:widowControl/>
      <w:spacing w:before="100" w:beforeAutospacing="1" w:after="100" w:afterAutospacing="1" w:line="495" w:lineRule="atLeast"/>
      <w:jc w:val="left"/>
    </w:pPr>
    <w:rPr>
      <w:rFonts w:ascii="宋体" w:cs="宋体"/>
      <w:b/>
      <w:bCs/>
      <w:color w:val="CC0000"/>
      <w:kern w:val="0"/>
    </w:rPr>
  </w:style>
  <w:style w:type="paragraph" w:customStyle="1" w:styleId="105">
    <w:name w:val="btn02"/>
    <w:basedOn w:val="0"/>
    <w:pPr>
      <w:widowControl/>
      <w:spacing w:before="100" w:beforeAutospacing="1" w:after="100" w:afterAutospacing="1"/>
      <w:jc w:val="left"/>
    </w:pPr>
    <w:rPr>
      <w:rFonts w:ascii="宋体" w:cs="宋体"/>
      <w:kern w:val="0"/>
      <w:sz w:val="24"/>
      <w:szCs w:val="24"/>
    </w:rPr>
  </w:style>
  <w:style w:type="paragraph" w:customStyle="1" w:styleId="106">
    <w:name w:val="hj-easyread-sider-btns-item1"/>
    <w:basedOn w:val="0"/>
    <w:pPr>
      <w:widowControl/>
      <w:spacing w:before="100" w:beforeAutospacing="1" w:after="100" w:afterAutospacing="1"/>
      <w:jc w:val="left"/>
    </w:pPr>
    <w:rPr>
      <w:rFonts w:ascii="宋体" w:cs="宋体"/>
      <w:vanish/>
      <w:kern w:val="0"/>
      <w:sz w:val="24"/>
      <w:szCs w:val="24"/>
    </w:rPr>
  </w:style>
  <w:style w:type="paragraph" w:customStyle="1" w:styleId="107">
    <w:name w:val="topinput"/>
    <w:basedOn w:val="0"/>
    <w:pPr>
      <w:widowControl/>
      <w:spacing w:before="100" w:beforeAutospacing="1" w:after="100" w:afterAutospacing="1"/>
      <w:jc w:val="left"/>
    </w:pPr>
    <w:rPr>
      <w:rFonts w:ascii="宋体" w:cs="宋体"/>
      <w:kern w:val="0"/>
      <w:sz w:val="24"/>
      <w:szCs w:val="24"/>
    </w:rPr>
  </w:style>
  <w:style w:type="paragraph" w:customStyle="1" w:styleId="108">
    <w:name w:val="页眉1"/>
    <w:basedOn w:val="0"/>
    <w:pPr>
      <w:widowControl/>
      <w:spacing w:before="100" w:beforeAutospacing="1" w:after="100" w:afterAutospacing="1"/>
      <w:jc w:val="left"/>
    </w:pPr>
    <w:rPr>
      <w:rFonts w:ascii="宋体" w:cs="宋体"/>
      <w:kern w:val="0"/>
      <w:sz w:val="24"/>
      <w:szCs w:val="24"/>
    </w:rPr>
  </w:style>
  <w:style w:type="paragraph" w:customStyle="1" w:styleId="109">
    <w:name w:val="newslist_black"/>
    <w:basedOn w:val="0"/>
    <w:pPr>
      <w:widowControl/>
      <w:spacing w:before="100" w:beforeAutospacing="1" w:after="100" w:afterAutospacing="1" w:line="525" w:lineRule="atLeast"/>
      <w:jc w:val="center"/>
    </w:pPr>
    <w:rPr>
      <w:rFonts w:ascii="宋体" w:cs="宋体"/>
      <w:kern w:val="0"/>
    </w:rPr>
  </w:style>
  <w:style w:type="paragraph" w:customStyle="1" w:styleId="110">
    <w:name w:val="tipscontrol-btn1"/>
    <w:basedOn w:val="0"/>
    <w:pPr>
      <w:widowControl/>
      <w:spacing w:before="100" w:beforeAutospacing="1" w:after="135" w:line="17536" w:lineRule="exact"/>
      <w:jc w:val="left"/>
    </w:pPr>
    <w:rPr>
      <w:rFonts w:ascii="宋体" w:cs="宋体"/>
      <w:kern w:val="0"/>
      <w:sz w:val="2"/>
      <w:szCs w:val="2"/>
    </w:rPr>
  </w:style>
  <w:style w:type="paragraph" w:customStyle="1" w:styleId="111">
    <w:name w:val="rightline"/>
    <w:basedOn w:val="0"/>
    <w:pPr>
      <w:widowControl/>
      <w:spacing w:before="100" w:beforeAutospacing="1" w:after="100" w:afterAutospacing="1"/>
      <w:jc w:val="left"/>
    </w:pPr>
    <w:rPr>
      <w:rFonts w:ascii="宋体" w:cs="宋体"/>
      <w:kern w:val="0"/>
      <w:sz w:val="24"/>
      <w:szCs w:val="24"/>
    </w:rPr>
  </w:style>
  <w:style w:type="paragraph" w:customStyle="1" w:styleId="112">
    <w:name w:val="fb"/>
    <w:basedOn w:val="0"/>
    <w:pPr>
      <w:widowControl/>
      <w:spacing w:before="100" w:beforeAutospacing="1" w:after="100" w:afterAutospacing="1"/>
      <w:jc w:val="left"/>
    </w:pPr>
    <w:rPr>
      <w:rFonts w:ascii="宋体" w:cs="宋体"/>
      <w:b/>
      <w:bCs/>
      <w:kern w:val="0"/>
      <w:sz w:val="24"/>
      <w:szCs w:val="24"/>
    </w:rPr>
  </w:style>
  <w:style w:type="paragraph" w:customStyle="1" w:styleId="113">
    <w:name w:val="zwgk_nav1"/>
    <w:basedOn w:val="0"/>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cs="宋体"/>
      <w:kern w:val="0"/>
      <w:sz w:val="24"/>
      <w:szCs w:val="24"/>
    </w:rPr>
  </w:style>
  <w:style w:type="paragraph" w:customStyle="1" w:styleId="114">
    <w:name w:val="rightnews"/>
    <w:basedOn w:val="0"/>
    <w:pPr>
      <w:widowControl/>
      <w:spacing w:before="100" w:beforeAutospacing="1" w:after="100" w:afterAutospacing="1"/>
      <w:jc w:val="left"/>
    </w:pPr>
    <w:rPr>
      <w:rFonts w:ascii="宋体" w:cs="宋体"/>
      <w:kern w:val="0"/>
      <w:sz w:val="24"/>
      <w:szCs w:val="24"/>
    </w:rPr>
  </w:style>
  <w:style w:type="paragraph" w:customStyle="1" w:styleId="115">
    <w:name w:val="zwgk_nav2"/>
    <w:basedOn w:val="0"/>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cs="宋体"/>
      <w:kern w:val="0"/>
      <w:sz w:val="24"/>
      <w:szCs w:val="24"/>
    </w:rPr>
  </w:style>
  <w:style w:type="paragraph" w:customStyle="1" w:styleId="116">
    <w:name w:val="navbox"/>
    <w:basedOn w:val="0"/>
    <w:pPr>
      <w:widowControl/>
      <w:shd w:val="clear" w:color="auto" w:fill="CC1C1E"/>
      <w:spacing w:before="100" w:beforeAutospacing="1" w:after="100" w:afterAutospacing="1"/>
      <w:jc w:val="left"/>
    </w:pPr>
    <w:rPr>
      <w:rFonts w:ascii="宋体" w:cs="宋体"/>
      <w:kern w:val="0"/>
      <w:sz w:val="24"/>
      <w:szCs w:val="24"/>
    </w:rPr>
  </w:style>
  <w:style w:type="paragraph" w:customStyle="1" w:styleId="117">
    <w:name w:val="current"/>
    <w:basedOn w:val="0"/>
    <w:pPr>
      <w:widowControl/>
      <w:spacing w:before="100" w:beforeAutospacing="1" w:after="100" w:afterAutospacing="1"/>
      <w:jc w:val="left"/>
    </w:pPr>
    <w:rPr>
      <w:rFonts w:ascii="宋体" w:cs="宋体"/>
      <w:kern w:val="0"/>
      <w:sz w:val="24"/>
      <w:szCs w:val="24"/>
    </w:rPr>
  </w:style>
  <w:style w:type="paragraph" w:customStyle="1" w:styleId="118">
    <w:name w:val="zwgk_nav_span"/>
    <w:basedOn w:val="0"/>
    <w:pPr>
      <w:widowControl/>
      <w:spacing w:before="100" w:beforeAutospacing="1" w:after="100" w:afterAutospacing="1"/>
      <w:jc w:val="center"/>
    </w:pPr>
    <w:rPr>
      <w:rFonts w:ascii="宋体" w:cs="宋体"/>
      <w:kern w:val="0"/>
      <w:sz w:val="24"/>
      <w:szCs w:val="24"/>
    </w:rPr>
  </w:style>
  <w:style w:type="paragraph" w:customStyle="1" w:styleId="119">
    <w:name w:val="main"/>
    <w:basedOn w:val="0"/>
    <w:pPr>
      <w:widowControl/>
      <w:shd w:val="clear" w:color="auto" w:fill="EBE9EA"/>
      <w:spacing w:before="100" w:beforeAutospacing="1" w:after="100" w:afterAutospacing="1"/>
      <w:jc w:val="left"/>
    </w:pPr>
    <w:rPr>
      <w:rFonts w:ascii="宋体" w:cs="宋体"/>
      <w:kern w:val="0"/>
      <w:sz w:val="24"/>
      <w:szCs w:val="24"/>
    </w:rPr>
  </w:style>
  <w:style w:type="paragraph" w:customStyle="1" w:styleId="120">
    <w:name w:val="newstitle"/>
    <w:basedOn w:val="0"/>
    <w:pPr>
      <w:widowControl/>
      <w:spacing w:before="100" w:beforeAutospacing="1" w:after="100" w:afterAutospacing="1"/>
      <w:jc w:val="left"/>
    </w:pPr>
    <w:rPr>
      <w:rFonts w:ascii="宋体" w:cs="宋体"/>
      <w:kern w:val="0"/>
      <w:sz w:val="24"/>
      <w:szCs w:val="24"/>
    </w:rPr>
  </w:style>
  <w:style w:type="paragraph" w:customStyle="1" w:styleId="121">
    <w:name w:val="zwgk_nav4"/>
    <w:basedOn w:val="0"/>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cs="宋体"/>
      <w:kern w:val="0"/>
      <w:sz w:val="24"/>
      <w:szCs w:val="24"/>
    </w:rPr>
  </w:style>
  <w:style w:type="character" w:customStyle="1" w:styleId="122">
    <w:name w:val="hj-easyread-speakerprocesser-position-action-icon"/>
    <w:basedOn w:val="10"/>
  </w:style>
  <w:style w:type="character" w:customStyle="1" w:styleId="123">
    <w:name w:val="hj-easyread-speakerprocesser-position-action-icon1"/>
    <w:basedOn w:val="10"/>
    <w:rPr>
      <w:shd w:val="clear" w:color="auto" w:fill="auto"/>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868</TotalTime>
  <Application>Yozo_Office</Application>
  <Pages>12</Pages>
  <Words>5780</Words>
  <Characters>6451</Characters>
  <Lines>730</Lines>
  <Paragraphs>361</Paragraphs>
  <CharactersWithSpaces>6695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2014年度常德市社会劳动保险处</dc:title>
  <dc:creator>ASUS</dc:creator>
  <cp:lastModifiedBy>ft</cp:lastModifiedBy>
  <cp:revision>6</cp:revision>
  <cp:lastPrinted>2021-08-23T01:38:09Z</cp:lastPrinted>
  <dcterms:created xsi:type="dcterms:W3CDTF">2015-10-07T02:35:00Z</dcterms:created>
  <dcterms:modified xsi:type="dcterms:W3CDTF">2021-10-31T10:06:35Z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