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附件：1. </w:t>
      </w:r>
      <w:bookmarkStart w:id="0" w:name="_GoBack"/>
      <w:bookmarkEnd w:id="0"/>
      <w:r>
        <w:rPr>
          <w:rFonts w:ascii="Times New Roman" w:hAnsi="Times New Roman" w:eastAsia="仿宋_GB2312"/>
          <w:sz w:val="32"/>
          <w:szCs w:val="32"/>
        </w:rPr>
        <w:t>部门整体支出绩效评价基础数据表</w:t>
      </w:r>
    </w:p>
    <w:p>
      <w:pPr>
        <w:spacing w:line="560" w:lineRule="exact"/>
        <w:ind w:firstLine="1600" w:firstLineChars="5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2. 部门整体支出绩效自评表</w:t>
      </w:r>
    </w:p>
    <w:p>
      <w:pPr>
        <w:spacing w:line="560" w:lineRule="exact"/>
        <w:ind w:firstLine="1600" w:firstLineChars="5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3. 项目支出绩效自评表(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无</w:t>
      </w:r>
      <w:r>
        <w:rPr>
          <w:rFonts w:ascii="Times New Roman" w:hAnsi="Times New Roman" w:eastAsia="仿宋_GB2312"/>
          <w:sz w:val="32"/>
          <w:szCs w:val="32"/>
        </w:rPr>
        <w:t>)</w:t>
      </w:r>
    </w:p>
    <w:p>
      <w:pPr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</w:t>
      </w:r>
    </w:p>
    <w:tbl>
      <w:tblPr>
        <w:tblStyle w:val="3"/>
        <w:tblW w:w="8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9"/>
        <w:gridCol w:w="972"/>
        <w:gridCol w:w="973"/>
        <w:gridCol w:w="1020"/>
        <w:gridCol w:w="1020"/>
        <w:gridCol w:w="972"/>
        <w:gridCol w:w="9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部门整体支出绩效评价基础数据表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财政供养人员情况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编制数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年实际在职人数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48 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48 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29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经费控制情况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年决算数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年预算数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三公经费：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19.62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1.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公务用车购置和维护经费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0.62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其中：公车购置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公车运行维护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0.62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2.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出国经费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3.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公务接待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项目支出：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档案托管专项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2.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招考招聘工作专项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劳动保障监察“两网化”平台专项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公用经费：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347.7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381.69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24.53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50.2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2.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差旅费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35.82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3.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26.17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4.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福利费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5.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6.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36.92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7.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专用材料费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8.29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8.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30.18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9.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物业管理费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18.4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10.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23.22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11.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邮电费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8.21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12.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其他交通费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33.76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31.19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13.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82.36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111.18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政府采购金额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部门整体支出预算调整</w:t>
            </w:r>
          </w:p>
        </w:tc>
        <w:tc>
          <w:tcPr>
            <w:tcW w:w="1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  <w:tc>
          <w:tcPr>
            <w:tcW w:w="19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3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楼堂馆所控制情况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19"/>
                <w:rFonts w:eastAsia="宋体"/>
                <w:lang w:val="en-US" w:eastAsia="zh-CN" w:bidi="ar"/>
              </w:rPr>
              <w:t>2021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年完工项目）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批复规模（㎡）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实际规模（㎡）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控制率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预算投资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实际投资（万元）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投资概算控制率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厉行节约保障措施</w:t>
            </w:r>
          </w:p>
        </w:tc>
        <w:tc>
          <w:tcPr>
            <w:tcW w:w="59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制订了厉行节约制度，包括财务管理制度、公务接待制度、公务用车管理制度等。严格遵照执行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960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说明：“项目支出”需要填报基本支出以外的所有项目支出情况，“公用经费”填报基 本支出中的一般商品和服务支出。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填表人：谭银雨         填报日期：2022.11.11      联系电话：13511145858</w:t>
            </w:r>
          </w:p>
        </w:tc>
      </w:tr>
    </w:tbl>
    <w:p>
      <w:pPr>
        <w:spacing w:line="56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tbl>
      <w:tblPr>
        <w:tblStyle w:val="3"/>
        <w:tblW w:w="898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894"/>
        <w:gridCol w:w="894"/>
        <w:gridCol w:w="894"/>
        <w:gridCol w:w="433"/>
        <w:gridCol w:w="433"/>
        <w:gridCol w:w="894"/>
        <w:gridCol w:w="894"/>
        <w:gridCol w:w="894"/>
        <w:gridCol w:w="933"/>
        <w:gridCol w:w="9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0" w:type="auto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2021</w:t>
            </w:r>
            <w:r>
              <w:rPr>
                <w:rStyle w:val="21"/>
                <w:rFonts w:hint="eastAsia" w:ascii="黑体" w:hAnsi="黑体" w:eastAsia="黑体" w:cs="黑体"/>
                <w:sz w:val="32"/>
                <w:szCs w:val="32"/>
                <w:lang w:val="en-US" w:eastAsia="zh-CN" w:bidi="ar"/>
              </w:rPr>
              <w:t>年度部门整体支出绩效自评表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预算单位名</w:t>
            </w:r>
            <w:r>
              <w:rPr>
                <w:rStyle w:val="22"/>
                <w:rFonts w:eastAsia="宋体"/>
                <w:lang w:val="en-US" w:eastAsia="zh-CN" w:bidi="ar"/>
              </w:rPr>
              <w:t xml:space="preserve">  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称</w:t>
            </w:r>
          </w:p>
        </w:tc>
        <w:tc>
          <w:tcPr>
            <w:tcW w:w="809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桃源县人力资源和社会保障局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31" w:hRule="atLeast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年度预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算申请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上年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结转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1161.21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930.51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930.51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按收入性质分：930.51</w:t>
            </w:r>
          </w:p>
        </w:tc>
        <w:tc>
          <w:tcPr>
            <w:tcW w:w="3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按支出性质分：930.51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 xml:space="preserve">  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一般公共预算：</w:t>
            </w:r>
            <w:r>
              <w:rPr>
                <w:rStyle w:val="22"/>
                <w:rFonts w:eastAsia="宋体"/>
                <w:lang w:val="en-US" w:eastAsia="zh-CN" w:bidi="ar"/>
              </w:rPr>
              <w:t>930.51</w:t>
            </w:r>
          </w:p>
        </w:tc>
        <w:tc>
          <w:tcPr>
            <w:tcW w:w="3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其中：基本支出：752.56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22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22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政府性基金拨款：</w:t>
            </w:r>
            <w:r>
              <w:rPr>
                <w:rStyle w:val="22"/>
                <w:rFonts w:eastAsia="宋体"/>
                <w:lang w:val="en-US" w:eastAsia="zh-CN" w:bidi="ar"/>
              </w:rPr>
              <w:t>0</w:t>
            </w:r>
          </w:p>
        </w:tc>
        <w:tc>
          <w:tcPr>
            <w:tcW w:w="3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 xml:space="preserve">      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项目支出：</w:t>
            </w:r>
            <w:r>
              <w:rPr>
                <w:rStyle w:val="22"/>
                <w:rFonts w:eastAsia="宋体"/>
                <w:lang w:val="en-US" w:eastAsia="zh-CN" w:bidi="ar"/>
              </w:rPr>
              <w:t>177.95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22"/>
                <w:rFonts w:hint="eastAsia"/>
                <w:lang w:val="en-US" w:eastAsia="zh-CN" w:bidi="ar"/>
              </w:rPr>
              <w:t xml:space="preserve"> </w:t>
            </w:r>
            <w:r>
              <w:rPr>
                <w:rStyle w:val="22"/>
                <w:rFonts w:eastAsia="宋体"/>
                <w:lang w:val="en-US" w:eastAsia="zh-CN" w:bidi="ar"/>
              </w:rPr>
              <w:t xml:space="preserve"> 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纳入专户管理的非税收入拨款：</w:t>
            </w:r>
            <w:r>
              <w:rPr>
                <w:rStyle w:val="22"/>
                <w:rFonts w:eastAsia="宋体"/>
                <w:lang w:val="en-US" w:eastAsia="zh-CN" w:bidi="ar"/>
              </w:rPr>
              <w:t>0</w:t>
            </w:r>
          </w:p>
        </w:tc>
        <w:tc>
          <w:tcPr>
            <w:tcW w:w="3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22"/>
                <w:rFonts w:hint="eastAsia"/>
                <w:lang w:val="en-US" w:eastAsia="zh-CN" w:bidi="ar"/>
              </w:rPr>
              <w:t xml:space="preserve"> 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其他资金：</w:t>
            </w:r>
          </w:p>
        </w:tc>
        <w:tc>
          <w:tcPr>
            <w:tcW w:w="3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4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4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1.推进“预约服务、代办服务、引导服务、延伸服务”落地生根，让“只进一扇门、最多跑一次”惠及第一位服务对象。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2.抓好企事业单位人才引进和招聘，举办12场以上招聘会，提供就业岗位12000个以上。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3.就业培训，城镇登记失业人员、创业培训、农村转移就业劳动者培训、贫困家庭“两后生”培训、就业技能培训5000人以上。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4.基金征缴及监管。人社系统下达的基金征缴任务完成率100%。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5.构建和谐劳动关系，加大企业用工日常巡查。劳动监察，查处问题整改率100%；劳动纠纷案件受理率100%，案件处置率100%，按期结案率100%。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6.服务对象满意度。用工企业、参保对象等满意度达90%以上。</w:t>
            </w:r>
          </w:p>
        </w:tc>
        <w:tc>
          <w:tcPr>
            <w:tcW w:w="36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至今新增农村劳动力转移就业7003人，占年任务6950人的100.76%；脱贫人口务工23004人，占年任务23000人的112.6%，指标均已超标提前完成；全年完成政府补贴性职业技能培训4413人，占年任务数3000人的147%；农村转移就业劳动者培训3023人，占年任务数1250人的241%，各项指标均超任务提前完成；今年来，依托县人力资源市场服务企业116家，开展线上线下招聘活动64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Style w:val="22"/>
                <w:rFonts w:eastAsia="宋体"/>
                <w:lang w:val="en-US" w:eastAsia="zh-CN" w:bidi="ar"/>
              </w:rPr>
              <w:t>50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分）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主题党日活动开展次数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3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支部委员会开展次数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12次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支部党员大会开展次数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党课开展次数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组织生活会开展次数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3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档案托管数量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12000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12860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现场招聘会场次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</w:t>
            </w:r>
            <w:r>
              <w:rPr>
                <w:rStyle w:val="22"/>
                <w:rFonts w:eastAsia="宋体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13场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网上招聘会场次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</w:t>
            </w:r>
            <w:r>
              <w:rPr>
                <w:rStyle w:val="22"/>
                <w:rFonts w:eastAsia="宋体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51场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受疫情影响，以网上招聘为主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提供就业岗位数量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</w:t>
            </w:r>
            <w:r>
              <w:rPr>
                <w:rStyle w:val="22"/>
                <w:rFonts w:eastAsia="宋体"/>
                <w:lang w:val="en-US" w:eastAsia="zh-CN" w:bidi="ar"/>
              </w:rPr>
              <w:t>12000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15000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处理基金预警次数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280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由于监管系统优化，垃圾数据减少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就业培训人数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</w:t>
            </w:r>
            <w:r>
              <w:rPr>
                <w:rStyle w:val="22"/>
                <w:rFonts w:eastAsia="宋体"/>
                <w:lang w:val="en-US" w:eastAsia="zh-CN" w:bidi="ar"/>
              </w:rPr>
              <w:t>5000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人次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7436人次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新增参保人数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</w:t>
            </w:r>
            <w:r>
              <w:rPr>
                <w:rStyle w:val="22"/>
                <w:rFonts w:eastAsia="宋体"/>
                <w:lang w:val="en-US" w:eastAsia="zh-CN" w:bidi="ar"/>
              </w:rPr>
              <w:t>10000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8477人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受疫情影响，征缴扩面难度较大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劳动争议仲裁受理案件数量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70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319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监察专项行动数量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接待处理投诉次数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191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人员经费保障人数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临聘人数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1人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用工意向达成率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</w:t>
            </w:r>
            <w:r>
              <w:rPr>
                <w:rStyle w:val="22"/>
                <w:rFonts w:eastAsia="宋体"/>
                <w:lang w:val="en-US" w:eastAsia="zh-CN" w:bidi="ar"/>
              </w:rPr>
              <w:t>50%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移送案件数量目标设置偏高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基金预警处理完结率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劳动争议仲裁受理案件结案率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</w:t>
            </w:r>
            <w:r>
              <w:rPr>
                <w:rStyle w:val="22"/>
                <w:rFonts w:eastAsia="宋体"/>
                <w:lang w:val="en-US" w:eastAsia="zh-CN" w:bidi="ar"/>
              </w:rPr>
              <w:t>95%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仲裁案件结案率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</w:t>
            </w:r>
            <w:r>
              <w:rPr>
                <w:rStyle w:val="22"/>
                <w:rFonts w:eastAsia="宋体"/>
                <w:lang w:val="en-US" w:eastAsia="zh-CN" w:bidi="ar"/>
              </w:rPr>
              <w:t>95%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劳动合同签订率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98%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98%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3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移送案件数量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件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机关事务正常运转率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3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基金预警处理及时率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数据下发</w:t>
            </w:r>
            <w:r>
              <w:rPr>
                <w:rStyle w:val="22"/>
                <w:rFonts w:eastAsia="仿宋"/>
                <w:lang w:val="en-US" w:eastAsia="zh-CN" w:bidi="ar"/>
              </w:rPr>
              <w:t>10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个工作日内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按计划指标完成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档案流动办结及时率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即时即办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即时即办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案件结案及时率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≦2个月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3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工作及时完成率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≤690.9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516.34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实际完成数偏低，主要原因一是由于财政本年度大力压减各项公用经费；二是脱贫攻坚任务完成，减少经费开支；三是本年度各项奖励资金均未发放到位，在农历新年前发放。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4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一般商品和服务支出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≤381.69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188.57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≤46.62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8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47.27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档案托管经费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≤10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招考招聘工作经费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≤22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劳动保障监察“两网化”平台经费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≤10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党外干部参政议政工作经费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≤1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“三支一扶”人员补贴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≤47.85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50.45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10月份新进人员追加预算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Style w:val="22"/>
                <w:rFonts w:eastAsia="宋体"/>
                <w:lang w:val="en-US" w:eastAsia="zh-CN" w:bidi="ar"/>
              </w:rPr>
              <w:t>30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分）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督促发放及追讨农民工工资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1200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1600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维权渠道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畅通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畅通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受疫情影响，工作开展相对平缓，总体向好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基本覆盖的社会保障格局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构建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构建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稳定就业环境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营造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营造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良好人才环境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创造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创造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3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用工市场环境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受疫情影响，工作开展相对平缓，总体向好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就业环境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平稳向好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平稳向好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行业服务标准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便民高效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便民高效</w:t>
            </w: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3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Style w:val="22"/>
                <w:rFonts w:eastAsia="宋体"/>
                <w:lang w:val="en-US" w:eastAsia="zh-CN" w:bidi="ar"/>
              </w:rPr>
              <w:t>10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分）</w:t>
            </w:r>
          </w:p>
        </w:tc>
        <w:tc>
          <w:tcPr>
            <w:tcW w:w="8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劳动者满意度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</w:t>
            </w:r>
            <w:r>
              <w:rPr>
                <w:rStyle w:val="22"/>
                <w:rFonts w:eastAsia="宋体"/>
                <w:lang w:val="en-US" w:eastAsia="zh-CN" w:bidi="ar"/>
              </w:rPr>
              <w:t>98%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98%</w:t>
            </w:r>
          </w:p>
        </w:tc>
        <w:tc>
          <w:tcPr>
            <w:tcW w:w="8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3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全方面询问调查群众满意度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用工企业满意度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22"/>
                <w:rFonts w:eastAsia="宋体"/>
                <w:lang w:val="en-US" w:eastAsia="zh-CN" w:bidi="ar"/>
              </w:rPr>
              <w:t>≧90%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参保对象满意度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≧90%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90%</w:t>
            </w:r>
          </w:p>
        </w:tc>
        <w:tc>
          <w:tcPr>
            <w:tcW w:w="8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23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</w:t>
            </w:r>
            <w:r>
              <w:rPr>
                <w:rStyle w:val="22"/>
                <w:rFonts w:eastAsia="宋体"/>
                <w:lang w:val="en-US" w:eastAsia="zh-CN" w:bidi="ar"/>
              </w:rPr>
              <w:t xml:space="preserve">  </w:t>
            </w:r>
            <w:r>
              <w:rPr>
                <w:rFonts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</w:t>
            </w:r>
          </w:p>
        </w:tc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1" w:hRule="atLeast"/>
        </w:trPr>
        <w:tc>
          <w:tcPr>
            <w:tcW w:w="8989" w:type="dxa"/>
            <w:gridSpan w:val="11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填表人：谭银雨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填报日期：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2022.11.11  </w:t>
            </w:r>
            <w:r>
              <w:rPr>
                <w:rFonts w:hint="eastAsia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</w:t>
            </w: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13511145858                                 </w:t>
            </w:r>
          </w:p>
        </w:tc>
      </w:tr>
    </w:tbl>
    <w:p>
      <w:pPr>
        <w:spacing w:line="560" w:lineRule="exact"/>
        <w:ind w:left="0" w:leftChars="0" w:firstLine="0" w:firstLineChars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spacing w:line="56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left="0" w:leftChars="0" w:firstLine="0" w:firstLineChars="0"/>
        <w:jc w:val="left"/>
        <w:rPr>
          <w:rFonts w:hint="eastAsia" w:ascii="黑体" w:hAnsi="黑体" w:eastAsia="黑体" w:cs="黑体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2098" w:right="1474" w:bottom="1985" w:left="1588" w:header="1588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lZGMxZjY3YmMxNGYxNDQ0NjMwNjcwNjlkNmQyMmMifQ=="/>
  </w:docVars>
  <w:rsids>
    <w:rsidRoot w:val="00074A80"/>
    <w:rsid w:val="0001034B"/>
    <w:rsid w:val="000516BA"/>
    <w:rsid w:val="00074A80"/>
    <w:rsid w:val="000F15B0"/>
    <w:rsid w:val="00155C63"/>
    <w:rsid w:val="001A6998"/>
    <w:rsid w:val="003139C8"/>
    <w:rsid w:val="004921F3"/>
    <w:rsid w:val="004F0956"/>
    <w:rsid w:val="00506A8D"/>
    <w:rsid w:val="006608A1"/>
    <w:rsid w:val="0072465C"/>
    <w:rsid w:val="007C3574"/>
    <w:rsid w:val="00B221AA"/>
    <w:rsid w:val="00B67CB9"/>
    <w:rsid w:val="00BA1DBC"/>
    <w:rsid w:val="00E441FB"/>
    <w:rsid w:val="03364BEB"/>
    <w:rsid w:val="090B06F1"/>
    <w:rsid w:val="0A1513FF"/>
    <w:rsid w:val="10CD1330"/>
    <w:rsid w:val="13406863"/>
    <w:rsid w:val="1BAB7615"/>
    <w:rsid w:val="1BE614F8"/>
    <w:rsid w:val="21627873"/>
    <w:rsid w:val="22866DBB"/>
    <w:rsid w:val="22917898"/>
    <w:rsid w:val="23BF0FAD"/>
    <w:rsid w:val="249B5576"/>
    <w:rsid w:val="350B1151"/>
    <w:rsid w:val="39454D49"/>
    <w:rsid w:val="3FA94B93"/>
    <w:rsid w:val="41A62B0F"/>
    <w:rsid w:val="421F738E"/>
    <w:rsid w:val="44784B34"/>
    <w:rsid w:val="45E53E2C"/>
    <w:rsid w:val="46D1051D"/>
    <w:rsid w:val="4A5E2A1E"/>
    <w:rsid w:val="4C7327B1"/>
    <w:rsid w:val="515E61DA"/>
    <w:rsid w:val="525959E0"/>
    <w:rsid w:val="52DB079A"/>
    <w:rsid w:val="561C6A35"/>
    <w:rsid w:val="5A317CDF"/>
    <w:rsid w:val="5B4D68C3"/>
    <w:rsid w:val="5BD75123"/>
    <w:rsid w:val="5E8C14B0"/>
    <w:rsid w:val="5EBA7FC2"/>
    <w:rsid w:val="5FC30F01"/>
    <w:rsid w:val="5FED4197"/>
    <w:rsid w:val="637644DD"/>
    <w:rsid w:val="6B8F04CF"/>
    <w:rsid w:val="6CB22A29"/>
    <w:rsid w:val="6DFC1993"/>
    <w:rsid w:val="7139610E"/>
    <w:rsid w:val="714300F4"/>
    <w:rsid w:val="724436E6"/>
    <w:rsid w:val="726447C6"/>
    <w:rsid w:val="78022363"/>
    <w:rsid w:val="7A807CC3"/>
    <w:rsid w:val="7C2150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customStyle="1" w:styleId="5">
    <w:name w:val="p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">
    <w:name w:val="font122"/>
    <w:basedOn w:val="4"/>
    <w:qFormat/>
    <w:uiPriority w:val="0"/>
    <w:rPr>
      <w:rFonts w:ascii="方正小标宋_GBK" w:hAnsi="方正小标宋_GBK" w:eastAsia="方正小标宋_GBK" w:cs="方正小标宋_GBK"/>
      <w:color w:val="000000"/>
      <w:sz w:val="36"/>
      <w:szCs w:val="36"/>
      <w:u w:val="none"/>
    </w:rPr>
  </w:style>
  <w:style w:type="character" w:customStyle="1" w:styleId="7">
    <w:name w:val="font71"/>
    <w:basedOn w:val="4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8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131"/>
    <w:basedOn w:val="4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">
    <w:name w:val="font91"/>
    <w:basedOn w:val="4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2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31"/>
    <w:basedOn w:val="4"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13">
    <w:name w:val="font101"/>
    <w:basedOn w:val="4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14">
    <w:name w:val="font0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112"/>
    <w:basedOn w:val="4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51"/>
    <w:basedOn w:val="4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7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12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9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0">
    <w:name w:val="font141"/>
    <w:basedOn w:val="4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21">
    <w:name w:val="font151"/>
    <w:basedOn w:val="4"/>
    <w:qFormat/>
    <w:uiPriority w:val="0"/>
    <w:rPr>
      <w:rFonts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22">
    <w:name w:val="font6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HXHZ</Company>
  <Pages>7</Pages>
  <Words>2056</Words>
  <Characters>2592</Characters>
  <Lines>16</Lines>
  <Paragraphs>4</Paragraphs>
  <TotalTime>251</TotalTime>
  <ScaleCrop>false</ScaleCrop>
  <LinksUpToDate>false</LinksUpToDate>
  <CharactersWithSpaces>2778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2022-11-07T03:37:00Z</dcterms:created>
  <dc:creator>Meimin</dc:creator>
  <cp:lastModifiedBy>醒醒</cp:lastModifiedBy>
  <cp:lastPrinted>2022-11-16T00:23:00Z</cp:lastPrinted>
  <dcterms:modified xsi:type="dcterms:W3CDTF">2022-12-12T07:04:06Z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029ADD56F38C4EFCB506FC796D1DBCC4</vt:lpwstr>
  </property>
</Properties>
</file>