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ascii="Times New Roman" w:hAnsi="Times New Roman" w:eastAsia="方正小标宋_GBK" w:cs="Times New Roman"/>
          <w:color w:val="000000"/>
          <w:kern w:val="0"/>
          <w:sz w:val="36"/>
          <w:szCs w:val="36"/>
        </w:rPr>
      </w:pPr>
      <w:r>
        <w:rPr>
          <w:rFonts w:hint="eastAsia" w:ascii="Times New Roman" w:hAnsi="Times New Roman" w:eastAsia="方正小标宋_GBK" w:cs="Times New Roman"/>
          <w:color w:val="000000"/>
          <w:kern w:val="0"/>
          <w:sz w:val="36"/>
          <w:szCs w:val="36"/>
        </w:rPr>
        <w:t>一般公共预算财政拨款“三公”经费支出决算表</w:t>
      </w:r>
    </w:p>
    <w:p>
      <w:pPr>
        <w:widowControl/>
        <w:jc w:val="lef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部门：</w:t>
      </w:r>
      <w:r>
        <w:rPr>
          <w:rFonts w:hint="eastAsia" w:ascii="Times New Roman" w:hAnsi="Times New Roman" w:eastAsia="仿宋_GB2312" w:cs="Times New Roman"/>
          <w:color w:val="000000"/>
          <w:kern w:val="0"/>
          <w:szCs w:val="21"/>
        </w:rPr>
        <w:t>桃源县</w:t>
      </w:r>
      <w:r>
        <w:rPr>
          <w:rFonts w:hint="eastAsia" w:ascii="Times New Roman" w:hAnsi="Times New Roman" w:eastAsia="仿宋_GB2312" w:cs="Times New Roman"/>
          <w:color w:val="000000"/>
          <w:kern w:val="0"/>
          <w:szCs w:val="21"/>
          <w:lang w:eastAsia="zh-CN"/>
        </w:rPr>
        <w:t>杨溪桥</w:t>
      </w:r>
      <w:r>
        <w:rPr>
          <w:rFonts w:hint="eastAsia" w:ascii="Times New Roman" w:hAnsi="Times New Roman" w:eastAsia="仿宋_GB2312" w:cs="Times New Roman"/>
          <w:color w:val="000000"/>
          <w:kern w:val="0"/>
          <w:szCs w:val="21"/>
        </w:rPr>
        <w:t>镇</w:t>
      </w:r>
      <w:r>
        <w:rPr>
          <w:rFonts w:hint="eastAsia" w:ascii="Times New Roman" w:hAnsi="Times New Roman" w:eastAsia="仿宋_GB2312" w:cs="Times New Roman"/>
          <w:color w:val="000000"/>
          <w:kern w:val="0"/>
          <w:szCs w:val="21"/>
          <w:lang w:val="en-US" w:eastAsia="zh-CN"/>
        </w:rPr>
        <w:t>人民政府</w:t>
      </w:r>
      <w:r>
        <w:rPr>
          <w:rFonts w:ascii="Times New Roman" w:hAnsi="Times New Roman" w:eastAsia="仿宋_GB2312" w:cs="Times New Roman"/>
          <w:color w:val="000000"/>
          <w:kern w:val="0"/>
          <w:szCs w:val="21"/>
        </w:rPr>
        <w:t xml:space="preserve">                                                                                                 </w:t>
      </w:r>
      <w:r>
        <w:rPr>
          <w:rFonts w:hint="eastAsia" w:ascii="Times New Roman" w:hAnsi="Times New Roman" w:eastAsia="仿宋_GB2312" w:cs="Times New Roman"/>
          <w:color w:val="000000"/>
          <w:kern w:val="0"/>
          <w:szCs w:val="21"/>
        </w:rPr>
        <w:t xml:space="preserve">         </w:t>
      </w:r>
      <w:r>
        <w:rPr>
          <w:rFonts w:ascii="Times New Roman" w:hAnsi="Times New Roman" w:eastAsia="仿宋_GB2312" w:cs="Times New Roman"/>
          <w:color w:val="000000"/>
          <w:kern w:val="0"/>
          <w:szCs w:val="21"/>
        </w:rPr>
        <w:t xml:space="preserve">       公开0</w:t>
      </w:r>
      <w:r>
        <w:rPr>
          <w:rFonts w:hint="eastAsia" w:ascii="Times New Roman" w:hAnsi="Times New Roman" w:eastAsia="仿宋_GB2312" w:cs="Times New Roman"/>
          <w:color w:val="000000"/>
          <w:kern w:val="0"/>
          <w:szCs w:val="21"/>
        </w:rPr>
        <w:t>7</w:t>
      </w:r>
      <w:r>
        <w:rPr>
          <w:rFonts w:ascii="Times New Roman" w:hAnsi="Times New Roman" w:eastAsia="仿宋_GB2312" w:cs="Times New Roman"/>
          <w:color w:val="000000"/>
          <w:kern w:val="0"/>
          <w:szCs w:val="21"/>
        </w:rPr>
        <w:t>表</w:t>
      </w:r>
    </w:p>
    <w:p>
      <w:pPr>
        <w:widowControl/>
        <w:ind w:right="420"/>
        <w:jc w:val="right"/>
        <w:rPr>
          <w:rFonts w:ascii="Times New Roman" w:hAnsi="Times New Roman" w:eastAsia="仿宋_GB2312" w:cs="Times New Roman"/>
          <w:color w:val="000000"/>
          <w:kern w:val="0"/>
          <w:szCs w:val="21"/>
        </w:rPr>
      </w:pPr>
      <w:r>
        <w:rPr>
          <w:rFonts w:ascii="Times New Roman" w:hAnsi="Times New Roman" w:eastAsia="仿宋_GB2312" w:cs="Times New Roman"/>
          <w:color w:val="000000"/>
          <w:kern w:val="0"/>
          <w:szCs w:val="21"/>
        </w:rPr>
        <w:t>单位：万元</w:t>
      </w:r>
    </w:p>
    <w:tbl>
      <w:tblPr>
        <w:tblStyle w:val="4"/>
        <w:tblW w:w="14640" w:type="dxa"/>
        <w:jc w:val="center"/>
        <w:tblLayout w:type="autofit"/>
        <w:tblCellMar>
          <w:top w:w="0" w:type="dxa"/>
          <w:left w:w="108" w:type="dxa"/>
          <w:bottom w:w="0" w:type="dxa"/>
          <w:right w:w="108" w:type="dxa"/>
        </w:tblCellMar>
      </w:tblPr>
      <w:tblGrid>
        <w:gridCol w:w="1220"/>
        <w:gridCol w:w="1220"/>
        <w:gridCol w:w="1220"/>
        <w:gridCol w:w="1220"/>
        <w:gridCol w:w="1220"/>
        <w:gridCol w:w="1220"/>
        <w:gridCol w:w="1220"/>
        <w:gridCol w:w="1220"/>
        <w:gridCol w:w="1220"/>
        <w:gridCol w:w="1220"/>
        <w:gridCol w:w="1220"/>
        <w:gridCol w:w="1220"/>
      </w:tblGrid>
      <w:tr>
        <w:tblPrEx>
          <w:tblCellMar>
            <w:top w:w="0" w:type="dxa"/>
            <w:left w:w="108" w:type="dxa"/>
            <w:bottom w:w="0" w:type="dxa"/>
            <w:right w:w="108" w:type="dxa"/>
          </w:tblCellMar>
        </w:tblPrEx>
        <w:trPr>
          <w:trHeight w:val="397" w:hRule="atLeast"/>
          <w:jc w:val="center"/>
        </w:trPr>
        <w:tc>
          <w:tcPr>
            <w:tcW w:w="7320" w:type="dxa"/>
            <w:gridSpan w:val="6"/>
            <w:tcBorders>
              <w:top w:val="single" w:color="auto" w:sz="8" w:space="0"/>
              <w:left w:val="single" w:color="auto" w:sz="8" w:space="0"/>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预算数</w:t>
            </w:r>
          </w:p>
        </w:tc>
        <w:tc>
          <w:tcPr>
            <w:tcW w:w="7320" w:type="dxa"/>
            <w:gridSpan w:val="6"/>
            <w:tcBorders>
              <w:top w:val="single" w:color="auto" w:sz="8" w:space="0"/>
              <w:left w:val="nil"/>
              <w:bottom w:val="single" w:color="auto" w:sz="4" w:space="0"/>
              <w:right w:val="single" w:color="000000"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决算数</w:t>
            </w:r>
          </w:p>
        </w:tc>
      </w:tr>
      <w:tr>
        <w:tblPrEx>
          <w:tblCellMar>
            <w:top w:w="0" w:type="dxa"/>
            <w:left w:w="108" w:type="dxa"/>
            <w:bottom w:w="0" w:type="dxa"/>
            <w:right w:w="108" w:type="dxa"/>
          </w:tblCellMar>
        </w:tblPrEx>
        <w:trPr>
          <w:trHeight w:val="397" w:hRule="atLeast"/>
          <w:jc w:val="center"/>
        </w:trPr>
        <w:tc>
          <w:tcPr>
            <w:tcW w:w="1220" w:type="dxa"/>
            <w:vMerge w:val="restart"/>
            <w:tcBorders>
              <w:top w:val="nil"/>
              <w:left w:val="single" w:color="auto" w:sz="8"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c>
          <w:tcPr>
            <w:tcW w:w="1220" w:type="dxa"/>
            <w:vMerge w:val="restart"/>
            <w:tcBorders>
              <w:top w:val="nil"/>
              <w:left w:val="nil"/>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合计</w:t>
            </w:r>
          </w:p>
        </w:tc>
        <w:tc>
          <w:tcPr>
            <w:tcW w:w="12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因公出国（境）费</w:t>
            </w: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公务用车购置及运行费</w:t>
            </w:r>
          </w:p>
        </w:tc>
        <w:tc>
          <w:tcPr>
            <w:tcW w:w="1220" w:type="dxa"/>
            <w:vMerge w:val="restart"/>
            <w:tcBorders>
              <w:top w:val="nil"/>
              <w:left w:val="single" w:color="auto" w:sz="4" w:space="0"/>
              <w:bottom w:val="single" w:color="000000"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公务</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接待费</w:t>
            </w:r>
          </w:p>
        </w:tc>
      </w:tr>
      <w:tr>
        <w:tblPrEx>
          <w:tblCellMar>
            <w:top w:w="0" w:type="dxa"/>
            <w:left w:w="108" w:type="dxa"/>
            <w:bottom w:w="0" w:type="dxa"/>
            <w:right w:w="108" w:type="dxa"/>
          </w:tblCellMar>
        </w:tblPrEx>
        <w:trPr>
          <w:trHeight w:val="397" w:hRule="atLeast"/>
          <w:jc w:val="center"/>
        </w:trPr>
        <w:tc>
          <w:tcPr>
            <w:tcW w:w="1220" w:type="dxa"/>
            <w:vMerge w:val="continue"/>
            <w:tcBorders>
              <w:top w:val="nil"/>
              <w:left w:val="single" w:color="auto" w:sz="8" w:space="0"/>
              <w:bottom w:val="single" w:color="000000" w:sz="4" w:space="0"/>
              <w:right w:val="single" w:color="auto" w:sz="4" w:space="0"/>
            </w:tcBorders>
            <w:vAlign w:val="center"/>
          </w:tcPr>
          <w:p>
            <w:pPr>
              <w:jc w:val="center"/>
            </w:pPr>
          </w:p>
        </w:tc>
        <w:tc>
          <w:tcPr>
            <w:tcW w:w="1220" w:type="dxa"/>
            <w:vMerge w:val="continue"/>
            <w:tcBorders>
              <w:top w:val="nil"/>
              <w:left w:val="single" w:color="auto" w:sz="4" w:space="0"/>
              <w:bottom w:val="single" w:color="000000" w:sz="4" w:space="0"/>
              <w:right w:val="single" w:color="auto" w:sz="4" w:space="0"/>
            </w:tcBorders>
            <w:vAlign w:val="center"/>
          </w:tcPr>
          <w:p>
            <w:pPr>
              <w:jc w:val="cente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auto" w:sz="4" w:space="0"/>
              <w:right w:val="single" w:color="auto" w:sz="4" w:space="0"/>
            </w:tcBorders>
            <w:vAlign w:val="center"/>
          </w:tcPr>
          <w:p>
            <w:pPr>
              <w:jc w:val="center"/>
            </w:pPr>
          </w:p>
        </w:tc>
        <w:tc>
          <w:tcPr>
            <w:tcW w:w="1220" w:type="dxa"/>
            <w:vMerge w:val="continue"/>
            <w:tcBorders>
              <w:top w:val="nil"/>
              <w:left w:val="nil"/>
              <w:bottom w:val="single" w:color="000000" w:sz="4" w:space="0"/>
              <w:right w:val="single" w:color="auto" w:sz="4" w:space="0"/>
            </w:tcBorders>
            <w:vAlign w:val="center"/>
          </w:tcPr>
          <w:p>
            <w:pPr>
              <w:jc w:val="center"/>
            </w:pPr>
          </w:p>
        </w:tc>
        <w:tc>
          <w:tcPr>
            <w:tcW w:w="1220" w:type="dxa"/>
            <w:vMerge w:val="continue"/>
            <w:tcBorders>
              <w:top w:val="nil"/>
              <w:left w:val="single" w:color="auto" w:sz="4" w:space="0"/>
              <w:bottom w:val="single" w:color="000000" w:sz="4" w:space="0"/>
              <w:right w:val="single" w:color="auto" w:sz="4" w:space="0"/>
            </w:tcBorders>
            <w:vAlign w:val="center"/>
          </w:tcPr>
          <w:p>
            <w:pPr>
              <w:jc w:val="center"/>
            </w:pP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小计</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购置费</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hint="eastAsia" w:ascii="Times New Roman" w:hAnsi="Times New Roman" w:eastAsia="仿宋_GB2312" w:cs="Times New Roman"/>
                <w:kern w:val="0"/>
                <w:szCs w:val="21"/>
                <w:lang w:eastAsia="zh-CN"/>
              </w:rPr>
            </w:pPr>
            <w:r>
              <w:rPr>
                <w:rFonts w:ascii="Times New Roman" w:hAnsi="Times New Roman" w:eastAsia="仿宋_GB2312" w:cs="Times New Roman"/>
                <w:kern w:val="0"/>
                <w:szCs w:val="21"/>
              </w:rPr>
              <w:t>公务用车</w:t>
            </w:r>
          </w:p>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运行费</w:t>
            </w:r>
          </w:p>
        </w:tc>
        <w:tc>
          <w:tcPr>
            <w:tcW w:w="1220" w:type="dxa"/>
            <w:vMerge w:val="continue"/>
            <w:tcBorders>
              <w:top w:val="nil"/>
              <w:left w:val="single" w:color="auto" w:sz="4" w:space="0"/>
              <w:bottom w:val="single" w:color="000000" w:sz="4" w:space="0"/>
              <w:right w:val="single" w:color="auto" w:sz="8" w:space="0"/>
            </w:tcBorders>
            <w:vAlign w:val="center"/>
          </w:tcPr>
          <w:p>
            <w:pPr>
              <w:jc w:val="center"/>
            </w:pP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2</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3</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4</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5</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6</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7</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8</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9</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10</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11</w:t>
            </w:r>
          </w:p>
        </w:tc>
        <w:tc>
          <w:tcPr>
            <w:tcW w:w="1220" w:type="dxa"/>
            <w:tcBorders>
              <w:top w:val="nil"/>
              <w:left w:val="nil"/>
              <w:bottom w:val="single" w:color="auto" w:sz="4" w:space="0"/>
              <w:right w:val="single" w:color="auto" w:sz="8" w:space="0"/>
            </w:tcBorders>
            <w:shd w:val="clear" w:color="auto" w:fill="auto"/>
            <w:vAlign w:val="center"/>
          </w:tcPr>
          <w:p>
            <w:pPr>
              <w:widowControl/>
              <w:jc w:val="center"/>
              <w:rPr>
                <w:rFonts w:ascii="Times New Roman" w:hAnsi="Times New Roman" w:eastAsia="仿宋_GB2312" w:cs="Times New Roman"/>
                <w:kern w:val="0"/>
                <w:szCs w:val="21"/>
              </w:rPr>
            </w:pPr>
            <w:r>
              <w:rPr>
                <w:rFonts w:ascii="Times New Roman" w:hAnsi="Times New Roman" w:eastAsia="仿宋_GB2312" w:cs="Times New Roman"/>
                <w:kern w:val="0"/>
                <w:szCs w:val="21"/>
              </w:rPr>
              <w:t>12</w:t>
            </w:r>
          </w:p>
        </w:tc>
      </w:tr>
      <w:tr>
        <w:tblPrEx>
          <w:tblCellMar>
            <w:top w:w="0" w:type="dxa"/>
            <w:left w:w="108" w:type="dxa"/>
            <w:bottom w:w="0" w:type="dxa"/>
            <w:right w:w="108" w:type="dxa"/>
          </w:tblCellMar>
        </w:tblPrEx>
        <w:trPr>
          <w:trHeight w:val="397" w:hRule="atLeast"/>
          <w:jc w:val="center"/>
        </w:trPr>
        <w:tc>
          <w:tcPr>
            <w:tcW w:w="1220" w:type="dxa"/>
            <w:tcBorders>
              <w:top w:val="nil"/>
              <w:left w:val="single" w:color="auto" w:sz="8" w:space="0"/>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20.3</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0.7</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r>
              <w:rPr>
                <w:rFonts w:hint="eastAsia" w:ascii="Times New Roman" w:hAnsi="Times New Roman" w:eastAsia="仿宋_GB2312" w:cs="Times New Roman"/>
                <w:kern w:val="0"/>
                <w:szCs w:val="21"/>
              </w:rPr>
              <w:t>0</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0.7</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19.6</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18.36</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0.5</w:t>
            </w:r>
          </w:p>
        </w:tc>
        <w:tc>
          <w:tcPr>
            <w:tcW w:w="1220" w:type="dxa"/>
            <w:tcBorders>
              <w:top w:val="nil"/>
              <w:left w:val="nil"/>
              <w:bottom w:val="single" w:color="auto" w:sz="8" w:space="0"/>
              <w:right w:val="single" w:color="auto" w:sz="4" w:space="0"/>
            </w:tcBorders>
            <w:shd w:val="clear" w:color="auto" w:fill="auto"/>
            <w:vAlign w:val="center"/>
          </w:tcPr>
          <w:p>
            <w:pPr>
              <w:widowControl/>
              <w:jc w:val="center"/>
              <w:rPr>
                <w:rFonts w:ascii="Times New Roman" w:hAnsi="Times New Roman" w:eastAsia="仿宋_GB2312" w:cs="Times New Roman"/>
                <w:kern w:val="0"/>
                <w:szCs w:val="21"/>
              </w:rPr>
            </w:pPr>
          </w:p>
        </w:tc>
        <w:tc>
          <w:tcPr>
            <w:tcW w:w="1220" w:type="dxa"/>
            <w:tcBorders>
              <w:top w:val="nil"/>
              <w:left w:val="nil"/>
              <w:bottom w:val="single" w:color="auto" w:sz="8" w:space="0"/>
              <w:right w:val="nil"/>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0.5</w:t>
            </w:r>
          </w:p>
        </w:tc>
        <w:tc>
          <w:tcPr>
            <w:tcW w:w="1220" w:type="dxa"/>
            <w:tcBorders>
              <w:top w:val="nil"/>
              <w:left w:val="single" w:color="auto" w:sz="4" w:space="0"/>
              <w:bottom w:val="single" w:color="auto" w:sz="8" w:space="0"/>
              <w:right w:val="single" w:color="auto" w:sz="8" w:space="0"/>
            </w:tcBorders>
            <w:shd w:val="clear" w:color="auto" w:fill="auto"/>
            <w:vAlign w:val="center"/>
          </w:tcPr>
          <w:p>
            <w:pPr>
              <w:widowControl/>
              <w:jc w:val="center"/>
              <w:rPr>
                <w:rFonts w:hint="default" w:ascii="Times New Roman" w:hAnsi="Times New Roman" w:eastAsia="仿宋_GB2312" w:cs="Times New Roman"/>
                <w:kern w:val="0"/>
                <w:szCs w:val="21"/>
                <w:lang w:val="en-US" w:eastAsia="zh-CN"/>
              </w:rPr>
            </w:pPr>
            <w:r>
              <w:rPr>
                <w:rFonts w:hint="eastAsia" w:ascii="Times New Roman" w:hAnsi="Times New Roman" w:eastAsia="仿宋_GB2312" w:cs="Times New Roman"/>
                <w:kern w:val="0"/>
                <w:szCs w:val="21"/>
                <w:lang w:val="en-US" w:eastAsia="zh-CN"/>
              </w:rPr>
              <w:t>17.86</w:t>
            </w:r>
          </w:p>
        </w:tc>
      </w:tr>
    </w:tbl>
    <w:p>
      <w:pPr>
        <w:autoSpaceDE w:val="0"/>
        <w:autoSpaceDN w:val="0"/>
        <w:adjustRightInd w:val="0"/>
        <w:ind w:left="315" w:leftChars="150"/>
        <w:jc w:val="left"/>
        <w:rPr>
          <w:rFonts w:ascii="宋体" w:cs="宋体"/>
          <w:kern w:val="0"/>
          <w:sz w:val="24"/>
          <w:szCs w:val="24"/>
        </w:rPr>
      </w:pPr>
      <w:r>
        <w:rPr>
          <w:rFonts w:hint="eastAsia" w:ascii="宋体" w:cs="宋体"/>
          <w:kern w:val="0"/>
          <w:sz w:val="24"/>
          <w:szCs w:val="24"/>
        </w:rPr>
        <w:t>注：本表反映部门本年度“三公”经费支出预决算情况。其中，预算数为“三公”经费全年预算数，反映按规定程序调整后的预算数；决算数是包括当年一般公共预算财政拨款和以前年度结转资金安排的实际支出。</w:t>
      </w:r>
    </w:p>
    <w:p>
      <w:pPr>
        <w:widowControl/>
        <w:jc w:val="left"/>
        <w:rPr>
          <w:rFonts w:ascii="宋体" w:cs="宋体"/>
          <w:kern w:val="0"/>
          <w:sz w:val="24"/>
          <w:szCs w:val="24"/>
        </w:rPr>
      </w:pPr>
      <w:bookmarkStart w:id="0" w:name="_GoBack"/>
      <w:bookmarkEnd w:id="0"/>
      <w:r>
        <w:rPr>
          <w:rFonts w:ascii="宋体" w:cs="宋体"/>
          <w:kern w:val="0"/>
          <w:sz w:val="24"/>
          <w:szCs w:val="24"/>
        </w:rPr>
        <w:br w:type="page"/>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2MTEwYzU0OGNmMzIyNDY0YzkxNjA2Nzc5NTUyM2YifQ=="/>
  </w:docVars>
  <w:rsids>
    <w:rsidRoot w:val="006F2D86"/>
    <w:rsid w:val="006F2D86"/>
    <w:rsid w:val="007C6A5E"/>
    <w:rsid w:val="0097158A"/>
    <w:rsid w:val="00B150A6"/>
    <w:rsid w:val="250B3B3E"/>
    <w:rsid w:val="5CAD6653"/>
    <w:rsid w:val="61907509"/>
    <w:rsid w:val="68181A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character" w:customStyle="1" w:styleId="6">
    <w:name w:val="页眉 Char"/>
    <w:basedOn w:val="5"/>
    <w:link w:val="3"/>
    <w:qFormat/>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247</Words>
  <Characters>263</Characters>
  <Lines>3</Lines>
  <Paragraphs>1</Paragraphs>
  <TotalTime>6</TotalTime>
  <ScaleCrop>false</ScaleCrop>
  <LinksUpToDate>false</LinksUpToDate>
  <CharactersWithSpaces>376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2020-10-12T02:51:00Z</dcterms:created>
  <dc:creator>jiuxi</dc:creator>
  <cp:lastModifiedBy>Polly佩</cp:lastModifiedBy>
  <dcterms:modified xsi:type="dcterms:W3CDTF">2023-03-20T02:32:47Z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DD905DA389DB4747BCB8B484D859E47C</vt:lpwstr>
  </property>
</Properties>
</file>