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黑体"/>
          <w:color w:val="000000"/>
          <w:kern w:val="0"/>
          <w:sz w:val="44"/>
          <w:szCs w:val="44"/>
        </w:rPr>
      </w:pPr>
      <w:r>
        <w:rPr>
          <w:rFonts w:hint="eastAsia" w:ascii="黑体" w:hAnsi="黑体" w:eastAsia="黑体"/>
          <w:kern w:val="0"/>
          <w:sz w:val="44"/>
          <w:szCs w:val="44"/>
          <w:lang w:val="en-US" w:eastAsia="zh-CN"/>
        </w:rPr>
        <w:t>2020</w:t>
      </w:r>
      <w:r>
        <w:rPr>
          <w:rFonts w:hint="eastAsia" w:ascii="黑体" w:hAnsi="黑体" w:eastAsia="黑体" w:cs="黑体"/>
          <w:color w:val="000000"/>
          <w:kern w:val="0"/>
          <w:sz w:val="44"/>
          <w:szCs w:val="44"/>
        </w:rPr>
        <w:t>年度部门整体支出绩效评价报告</w:t>
      </w:r>
    </w:p>
    <w:p>
      <w:pPr>
        <w:jc w:val="left"/>
        <w:rPr>
          <w:rFonts w:hint="eastAsia" w:ascii="宋体" w:hAnsi="宋体" w:cs="黑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为强化财政支出资金管理，提高财政资金使用效益，我们对2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年度桃源县供销合作社联合社部门整体支出进行了绩效自评，形成本报告。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部门</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（一）机构、人员构成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我单位属财政全额拨款的公务员参管单位，单位内设办公室、人事教育股、财务统计股、合作指导股、安全保卫股、监察室、信息服务中心。有编内在职职工2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人，劳务派遣2人，再就业援助对象17人，退休人员31人，遗属2人。</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（二）单位主要职责</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为基层供销社提供管理服务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宣传和贯彻执行农村经济和供销社工作方针和政策法规，研究提出具体实施意见和建议。积极组织引导农民发展新型的农村合作经济组织，研究拟定全县供销系统发展规则，指导社有企业和基层社业务，指导和监督全县供销系统的资产。指导全县基层社改革、发展建设，履行农村合作经济组织的职能。以服务“三农”，助农增收为已任，不断强化为农服务基础，创新机制，加强为农服务网络建设、社有资产管理，扎实做好信访稳定扶贫等工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部门</w:t>
      </w:r>
      <w:r>
        <w:rPr>
          <w:rFonts w:hint="eastAsia" w:ascii="黑体" w:hAnsi="黑体" w:eastAsia="黑体" w:cs="黑体"/>
          <w:sz w:val="32"/>
          <w:szCs w:val="32"/>
        </w:rPr>
        <w:t>财务情况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整体支出情况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2020年度</w:t>
      </w:r>
      <w:r>
        <w:rPr>
          <w:rFonts w:hint="eastAsia" w:ascii="Times New Roman" w:hAnsi="Times New Roman" w:eastAsia="仿宋_GB2312" w:cs="Times New Roman"/>
          <w:bCs/>
          <w:color w:val="auto"/>
          <w:sz w:val="32"/>
          <w:szCs w:val="32"/>
          <w:lang w:eastAsia="zh-CN"/>
        </w:rPr>
        <w:t>总收入</w:t>
      </w:r>
      <w:r>
        <w:rPr>
          <w:rFonts w:hint="eastAsia" w:ascii="Times New Roman" w:hAnsi="Times New Roman" w:eastAsia="仿宋_GB2312" w:cs="Times New Roman"/>
          <w:bCs/>
          <w:color w:val="auto"/>
          <w:sz w:val="32"/>
          <w:szCs w:val="32"/>
          <w:lang w:val="en-US" w:eastAsia="zh-CN"/>
        </w:rPr>
        <w:t>580.42万元，</w:t>
      </w:r>
      <w:r>
        <w:rPr>
          <w:rFonts w:ascii="Times New Roman" w:hAnsi="Times New Roman" w:eastAsia="仿宋_GB2312" w:cs="Times New Roman"/>
          <w:color w:val="auto"/>
          <w:sz w:val="32"/>
          <w:szCs w:val="32"/>
        </w:rPr>
        <w:t>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年相比，减少</w:t>
      </w:r>
      <w:r>
        <w:rPr>
          <w:rFonts w:hint="eastAsia" w:ascii="Times New Roman" w:hAnsi="Times New Roman" w:eastAsia="仿宋_GB2312" w:cs="Times New Roman"/>
          <w:color w:val="auto"/>
          <w:sz w:val="32"/>
          <w:szCs w:val="32"/>
          <w:lang w:val="en-US" w:eastAsia="zh-CN"/>
        </w:rPr>
        <w:t>253.26</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30</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减少棚改收入</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lang w:val="en-US" w:eastAsia="zh-CN"/>
        </w:rPr>
        <w:t>2020</w:t>
      </w:r>
      <w:r>
        <w:rPr>
          <w:rFonts w:hint="eastAsia" w:ascii="Times New Roman" w:hAnsi="Times New Roman" w:eastAsia="仿宋_GB2312" w:cs="Times New Roman"/>
          <w:bCs/>
          <w:color w:val="auto"/>
          <w:sz w:val="32"/>
          <w:szCs w:val="32"/>
        </w:rPr>
        <w:t>年度</w:t>
      </w:r>
      <w:r>
        <w:rPr>
          <w:rFonts w:hint="eastAsia" w:ascii="Times New Roman" w:hAnsi="Times New Roman" w:eastAsia="仿宋_GB2312" w:cs="Times New Roman"/>
          <w:bCs/>
          <w:color w:val="auto"/>
          <w:sz w:val="32"/>
          <w:szCs w:val="32"/>
          <w:lang w:eastAsia="zh-CN"/>
        </w:rPr>
        <w:t>总支出</w:t>
      </w:r>
      <w:r>
        <w:rPr>
          <w:rFonts w:hint="eastAsia" w:ascii="Times New Roman" w:hAnsi="Times New Roman" w:eastAsia="仿宋_GB2312" w:cs="Times New Roman"/>
          <w:bCs/>
          <w:color w:val="auto"/>
          <w:sz w:val="32"/>
          <w:szCs w:val="32"/>
          <w:lang w:val="en-US" w:eastAsia="zh-CN"/>
        </w:rPr>
        <w:t>579.09万元，</w:t>
      </w:r>
      <w:r>
        <w:rPr>
          <w:rFonts w:ascii="Times New Roman" w:hAnsi="Times New Roman" w:eastAsia="仿宋_GB2312" w:cs="Times New Roman"/>
          <w:color w:val="auto"/>
          <w:sz w:val="32"/>
          <w:szCs w:val="32"/>
        </w:rPr>
        <w:t>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年相比，减少</w:t>
      </w:r>
      <w:r>
        <w:rPr>
          <w:rFonts w:hint="eastAsia" w:ascii="Times New Roman" w:hAnsi="Times New Roman" w:eastAsia="仿宋_GB2312" w:cs="Times New Roman"/>
          <w:color w:val="auto"/>
          <w:sz w:val="32"/>
          <w:szCs w:val="32"/>
          <w:lang w:val="en-US" w:eastAsia="zh-CN"/>
        </w:rPr>
        <w:t>210.02</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26</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减少棚改支出</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决算情况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val="en-US" w:eastAsia="zh-CN"/>
        </w:rPr>
        <w:t>579.09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全部为</w:t>
      </w:r>
      <w:r>
        <w:rPr>
          <w:rFonts w:hint="eastAsia" w:ascii="仿宋_GB2312" w:hAnsi="仿宋_GB2312" w:eastAsia="仿宋_GB2312" w:cs="仿宋_GB2312"/>
          <w:sz w:val="32"/>
          <w:szCs w:val="32"/>
        </w:rPr>
        <w:t>财政拨款支出。其中：</w:t>
      </w:r>
      <w:r>
        <w:rPr>
          <w:rFonts w:ascii="Times New Roman" w:hAnsi="Times New Roman" w:eastAsia="仿宋_GB2312" w:cs="Times New Roman"/>
          <w:color w:val="auto"/>
          <w:sz w:val="32"/>
          <w:szCs w:val="32"/>
        </w:rPr>
        <w:t>一般公共服务（类）支出</w:t>
      </w:r>
      <w:r>
        <w:rPr>
          <w:rFonts w:hint="eastAsia" w:ascii="Times New Roman" w:hAnsi="Times New Roman" w:eastAsia="仿宋_GB2312" w:cs="Times New Roman"/>
          <w:color w:val="auto"/>
          <w:sz w:val="32"/>
          <w:szCs w:val="32"/>
          <w:lang w:val="en-US" w:eastAsia="zh-CN"/>
        </w:rPr>
        <w:t>3.26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0.56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社会保障和就业支出</w:t>
      </w:r>
      <w:r>
        <w:rPr>
          <w:rFonts w:hint="eastAsia" w:ascii="Times New Roman" w:hAnsi="Times New Roman" w:eastAsia="仿宋_GB2312" w:cs="Times New Roman"/>
          <w:color w:val="auto"/>
          <w:sz w:val="32"/>
          <w:szCs w:val="32"/>
          <w:lang w:val="en-US" w:eastAsia="zh-CN"/>
        </w:rPr>
        <w:t>23.12万元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3.98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；卫生健康支出7.24万元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1.25</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；城乡社区支出29.26万元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5.04</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；农林水支出43.69万元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7.53</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；商业服务业等支出463.65万元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79.88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；住房保障支出10.2万元</w:t>
      </w:r>
      <w:r>
        <w:rPr>
          <w:rFonts w:ascii="Times New Roman" w:hAnsi="Times New Roman" w:eastAsia="仿宋_GB2312" w:cs="Times New Roman"/>
          <w:color w:val="auto"/>
          <w:sz w:val="32"/>
          <w:szCs w:val="32"/>
        </w:rPr>
        <w:t>，占</w:t>
      </w:r>
      <w:r>
        <w:rPr>
          <w:rFonts w:hint="eastAsia" w:ascii="Times New Roman" w:hAnsi="Times New Roman" w:eastAsia="仿宋_GB2312" w:cs="Times New Roman"/>
          <w:color w:val="auto"/>
          <w:sz w:val="32"/>
          <w:szCs w:val="32"/>
          <w:lang w:val="en-US" w:eastAsia="zh-CN"/>
        </w:rPr>
        <w:t>1.76</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一般公共预算</w:t>
      </w:r>
      <w:r>
        <w:rPr>
          <w:rFonts w:ascii="Times New Roman" w:hAnsi="Times New Roman" w:eastAsia="仿宋_GB2312" w:cs="Times New Roman"/>
          <w:color w:val="auto"/>
          <w:sz w:val="32"/>
          <w:szCs w:val="32"/>
        </w:rPr>
        <w:t>财政拨款基本支出</w:t>
      </w:r>
      <w:r>
        <w:rPr>
          <w:rFonts w:hint="eastAsia" w:ascii="Times New Roman" w:hAnsi="Times New Roman" w:eastAsia="仿宋_GB2312" w:cs="Times New Roman"/>
          <w:color w:val="auto"/>
          <w:sz w:val="32"/>
          <w:szCs w:val="32"/>
          <w:lang w:val="en-US" w:eastAsia="zh-CN"/>
        </w:rPr>
        <w:t>416.83</w:t>
      </w:r>
      <w:r>
        <w:rPr>
          <w:rFonts w:ascii="Times New Roman" w:hAnsi="Times New Roman" w:eastAsia="仿宋_GB2312" w:cs="Times New Roman"/>
          <w:color w:val="auto"/>
          <w:sz w:val="32"/>
          <w:szCs w:val="32"/>
        </w:rPr>
        <w:t>万元，其中：人员经费</w:t>
      </w:r>
      <w:r>
        <w:rPr>
          <w:rFonts w:hint="eastAsia" w:ascii="Times New Roman" w:hAnsi="Times New Roman" w:eastAsia="仿宋_GB2312" w:cs="Times New Roman"/>
          <w:color w:val="auto"/>
          <w:sz w:val="32"/>
          <w:szCs w:val="32"/>
          <w:lang w:val="en-US" w:eastAsia="zh-CN"/>
        </w:rPr>
        <w:t>328.46</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78.8</w:t>
      </w:r>
      <w:r>
        <w:rPr>
          <w:rFonts w:ascii="Times New Roman" w:hAnsi="Times New Roman" w:eastAsia="仿宋_GB2312" w:cs="Times New Roman"/>
          <w:color w:val="auto"/>
          <w:sz w:val="32"/>
          <w:szCs w:val="32"/>
        </w:rPr>
        <w:t>%,主要包括基本工资、津贴补贴、奖金、伙食补助费</w:t>
      </w:r>
      <w:r>
        <w:rPr>
          <w:rFonts w:hint="eastAsia" w:ascii="Times New Roman" w:hAnsi="Times New Roman" w:eastAsia="仿宋_GB2312" w:cs="Times New Roman"/>
          <w:color w:val="auto"/>
          <w:sz w:val="32"/>
          <w:szCs w:val="32"/>
          <w:lang w:eastAsia="zh-CN"/>
        </w:rPr>
        <w:t>、养老保险、住房公积金</w:t>
      </w:r>
      <w:r>
        <w:rPr>
          <w:rFonts w:ascii="Times New Roman" w:hAnsi="Times New Roman" w:eastAsia="仿宋_GB2312" w:cs="Times New Roman"/>
          <w:color w:val="auto"/>
          <w:sz w:val="32"/>
          <w:szCs w:val="32"/>
        </w:rPr>
        <w:t>……；公用经费</w:t>
      </w:r>
      <w:r>
        <w:rPr>
          <w:rFonts w:hint="eastAsia" w:ascii="Times New Roman" w:hAnsi="Times New Roman" w:eastAsia="仿宋_GB2312" w:cs="Times New Roman"/>
          <w:color w:val="auto"/>
          <w:sz w:val="32"/>
          <w:szCs w:val="32"/>
          <w:lang w:val="en-US" w:eastAsia="zh-CN"/>
        </w:rPr>
        <w:t>88.37</w:t>
      </w:r>
      <w:r>
        <w:rPr>
          <w:rFonts w:ascii="Times New Roman" w:hAnsi="Times New Roman" w:eastAsia="仿宋_GB2312" w:cs="Times New Roman"/>
          <w:color w:val="auto"/>
          <w:sz w:val="32"/>
          <w:szCs w:val="32"/>
        </w:rPr>
        <w:t>万元，占基本支出的</w:t>
      </w:r>
      <w:r>
        <w:rPr>
          <w:rFonts w:hint="eastAsia" w:ascii="Times New Roman" w:hAnsi="Times New Roman" w:eastAsia="仿宋_GB2312" w:cs="Times New Roman"/>
          <w:color w:val="auto"/>
          <w:sz w:val="32"/>
          <w:szCs w:val="32"/>
          <w:lang w:val="en-US" w:eastAsia="zh-CN"/>
        </w:rPr>
        <w:t>21.2</w:t>
      </w:r>
      <w:r>
        <w:rPr>
          <w:rFonts w:ascii="Times New Roman" w:hAnsi="Times New Roman" w:eastAsia="仿宋_GB2312" w:cs="Times New Roman"/>
          <w:color w:val="auto"/>
          <w:sz w:val="32"/>
          <w:szCs w:val="32"/>
        </w:rPr>
        <w:t>%，主要包括办公费、印刷费、咨询费、手续费</w:t>
      </w:r>
      <w:r>
        <w:rPr>
          <w:rFonts w:hint="eastAsia" w:ascii="Times New Roman" w:hAnsi="Times New Roman" w:eastAsia="仿宋_GB2312" w:cs="Times New Roman"/>
          <w:color w:val="auto"/>
          <w:sz w:val="32"/>
          <w:szCs w:val="32"/>
          <w:lang w:eastAsia="zh-CN"/>
        </w:rPr>
        <w:t>、水费、电费、会议费、培训费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一般公共预算财政拨款项目支出</w:t>
      </w:r>
      <w:r>
        <w:rPr>
          <w:rFonts w:hint="eastAsia" w:ascii="Times New Roman" w:hAnsi="Times New Roman" w:eastAsia="仿宋_GB2312" w:cs="Times New Roman"/>
          <w:color w:val="auto"/>
          <w:sz w:val="32"/>
          <w:szCs w:val="32"/>
          <w:lang w:val="en-US" w:eastAsia="zh-CN"/>
        </w:rPr>
        <w:t>133万元，其中：农林水支出43万元；商业服务业等支出90万元。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仿宋_GB2312" w:hAnsi="仿宋_GB2312" w:eastAsia="仿宋_GB2312" w:cs="仿宋_GB2312"/>
          <w:sz w:val="32"/>
          <w:szCs w:val="32"/>
        </w:rPr>
        <w:t>（</w:t>
      </w:r>
      <w:r>
        <w:rPr>
          <w:rFonts w:hint="eastAsia" w:ascii="Times New Roman" w:hAnsi="Times New Roman" w:eastAsia="仿宋_GB2312" w:cs="Times New Roman"/>
          <w:color w:val="auto"/>
          <w:sz w:val="32"/>
          <w:szCs w:val="32"/>
        </w:rPr>
        <w:t>三）“三公经费”支出使用和管理情况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“三公”经费财政拨款支出预算为</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12.43</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完成预算的</w:t>
      </w:r>
      <w:r>
        <w:rPr>
          <w:rFonts w:hint="eastAsia" w:ascii="Times New Roman" w:hAnsi="Times New Roman" w:eastAsia="仿宋_GB2312" w:cs="Times New Roman"/>
          <w:color w:val="auto"/>
          <w:sz w:val="32"/>
          <w:szCs w:val="32"/>
          <w:lang w:val="en-US" w:eastAsia="zh-CN"/>
        </w:rPr>
        <w:t>82.87</w:t>
      </w:r>
      <w:r>
        <w:rPr>
          <w:rFonts w:ascii="Times New Roman" w:hAnsi="Times New Roman" w:eastAsia="仿宋_GB2312" w:cs="Times New Roman"/>
          <w:color w:val="auto"/>
          <w:sz w:val="32"/>
          <w:szCs w:val="32"/>
        </w:rPr>
        <w:t>%，决算数小于年初预算数的主要原因是</w:t>
      </w:r>
      <w:r>
        <w:rPr>
          <w:rFonts w:hint="eastAsia" w:ascii="Times New Roman" w:hAnsi="Times New Roman" w:eastAsia="仿宋_GB2312" w:cs="Times New Roman"/>
          <w:color w:val="auto"/>
          <w:sz w:val="32"/>
          <w:szCs w:val="32"/>
          <w:lang w:eastAsia="zh-CN"/>
        </w:rPr>
        <w:t>厉行节约</w:t>
      </w:r>
      <w:r>
        <w:rPr>
          <w:rFonts w:ascii="Times New Roman" w:hAnsi="Times New Roman" w:eastAsia="仿宋_GB2312" w:cs="Times New Roman"/>
          <w:color w:val="auto"/>
          <w:sz w:val="32"/>
          <w:szCs w:val="32"/>
        </w:rPr>
        <w:t>，与上年相比减少</w:t>
      </w:r>
      <w:r>
        <w:rPr>
          <w:rFonts w:hint="eastAsia" w:ascii="Times New Roman" w:hAnsi="Times New Roman" w:eastAsia="仿宋_GB2312" w:cs="Times New Roman"/>
          <w:color w:val="auto"/>
          <w:sz w:val="32"/>
          <w:szCs w:val="32"/>
          <w:lang w:val="en-US" w:eastAsia="zh-CN"/>
        </w:rPr>
        <w:t>6.46</w:t>
      </w:r>
      <w:r>
        <w:rPr>
          <w:rFonts w:ascii="Times New Roman" w:hAnsi="Times New Roman" w:eastAsia="仿宋_GB2312" w:cs="Times New Roman"/>
          <w:color w:val="auto"/>
          <w:sz w:val="32"/>
          <w:szCs w:val="32"/>
        </w:rPr>
        <w:t>万元，减少</w:t>
      </w:r>
      <w:r>
        <w:rPr>
          <w:rFonts w:hint="eastAsia" w:ascii="Times New Roman" w:hAnsi="Times New Roman" w:eastAsia="仿宋_GB2312" w:cs="Times New Roman"/>
          <w:color w:val="auto"/>
          <w:sz w:val="32"/>
          <w:szCs w:val="32"/>
          <w:lang w:val="en-US" w:eastAsia="zh-CN"/>
        </w:rPr>
        <w:t>34.2</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减少的主要原因是</w:t>
      </w:r>
      <w:r>
        <w:rPr>
          <w:rFonts w:hint="eastAsia" w:ascii="Times New Roman" w:hAnsi="Times New Roman" w:eastAsia="仿宋_GB2312" w:cs="Times New Roman"/>
          <w:color w:val="auto"/>
          <w:sz w:val="32"/>
          <w:szCs w:val="32"/>
          <w:lang w:eastAsia="zh-CN"/>
        </w:rPr>
        <w:t>厉行节约</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因公出国（境）费支出预算为0万元，支出决算为0万元。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公务接待费支出预算为</w:t>
      </w:r>
      <w:r>
        <w:rPr>
          <w:rFonts w:hint="eastAsia" w:ascii="Times New Roman" w:hAnsi="Times New Roman" w:eastAsia="仿宋_GB2312" w:cs="Times New Roman"/>
          <w:color w:val="auto"/>
          <w:sz w:val="32"/>
          <w:szCs w:val="32"/>
          <w:lang w:val="en-US" w:eastAsia="zh-CN"/>
        </w:rPr>
        <w:t>15</w:t>
      </w:r>
      <w:r>
        <w:rPr>
          <w:rFonts w:hint="eastAsia"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12.43</w:t>
      </w:r>
      <w:r>
        <w:rPr>
          <w:rFonts w:hint="eastAsia" w:ascii="Times New Roman" w:hAnsi="Times New Roman" w:eastAsia="仿宋_GB2312" w:cs="Times New Roman"/>
          <w:color w:val="auto"/>
          <w:sz w:val="32"/>
          <w:szCs w:val="32"/>
        </w:rPr>
        <w:t>万元，结</w:t>
      </w:r>
      <w:r>
        <w:rPr>
          <w:rFonts w:hint="eastAsia" w:ascii="Times New Roman" w:hAnsi="Times New Roman" w:eastAsia="仿宋_GB2312" w:cs="Times New Roman"/>
          <w:color w:val="auto"/>
          <w:sz w:val="32"/>
          <w:szCs w:val="32"/>
          <w:lang w:eastAsia="zh-CN"/>
        </w:rPr>
        <w:t>约</w:t>
      </w:r>
      <w:r>
        <w:rPr>
          <w:rFonts w:hint="eastAsia" w:ascii="Times New Roman" w:hAnsi="Times New Roman" w:eastAsia="仿宋_GB2312" w:cs="Times New Roman"/>
          <w:color w:val="auto"/>
          <w:sz w:val="32"/>
          <w:szCs w:val="32"/>
        </w:rPr>
        <w:t>资金</w:t>
      </w:r>
      <w:r>
        <w:rPr>
          <w:rFonts w:hint="eastAsia" w:ascii="Times New Roman" w:hAnsi="Times New Roman" w:eastAsia="仿宋_GB2312" w:cs="Times New Roman"/>
          <w:color w:val="auto"/>
          <w:sz w:val="32"/>
          <w:szCs w:val="32"/>
          <w:lang w:val="en-US" w:eastAsia="zh-CN"/>
        </w:rPr>
        <w:t>2.57</w:t>
      </w:r>
      <w:r>
        <w:rPr>
          <w:rFonts w:hint="eastAsia" w:ascii="Times New Roman" w:hAnsi="Times New Roman" w:eastAsia="仿宋_GB2312" w:cs="Times New Roman"/>
          <w:color w:val="auto"/>
          <w:sz w:val="32"/>
          <w:szCs w:val="32"/>
        </w:rPr>
        <w:t>万元，主要原因为厉行节约。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公务用车购置费及运行维护费支出预算为0万元，支出决算为0万元，原因是取消了公车。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“三公”经费财政拨款支出决算中，全部为公务接待费支出决算</w:t>
      </w:r>
      <w:r>
        <w:rPr>
          <w:rFonts w:hint="eastAsia" w:ascii="仿宋_GB2312" w:hAnsi="仿宋_GB2312" w:eastAsia="仿宋_GB2312" w:cs="仿宋_GB2312"/>
          <w:sz w:val="32"/>
          <w:szCs w:val="32"/>
          <w:lang w:val="en-US" w:eastAsia="zh-CN"/>
        </w:rPr>
        <w:t>12.43</w:t>
      </w:r>
      <w:r>
        <w:rPr>
          <w:rFonts w:hint="eastAsia" w:ascii="仿宋_GB2312" w:hAnsi="仿宋_GB2312" w:eastAsia="仿宋_GB2312" w:cs="仿宋_GB2312"/>
          <w:sz w:val="32"/>
          <w:szCs w:val="32"/>
        </w:rPr>
        <w:t>万元,因公出国（境）费支出决算0万元，公务用车购置费及运行维护费支出决算0万元。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三、部门绩效目标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（一）部门绩效总目标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社的绩效总目标是服务三农。近几年要尽快完成供销系统的全面改革，建立新的经营模式，按照上级文件和精神恢复和重建经营网点，成立便民服务中心，加强农产品电子商务体系建设，为农民提供更便捷的服务，这些工作都在积极地进行中。</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年度部门绩效目标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根据县委县政府的工作部署和本单位的工作安排，主要是积极做好疫情防控期间春耕备耕工作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全方位开展</w:t>
      </w:r>
      <w:r>
        <w:rPr>
          <w:rFonts w:hint="eastAsia" w:ascii="仿宋_GB2312" w:hAnsi="仿宋_GB2312" w:eastAsia="仿宋_GB2312" w:cs="仿宋_GB2312"/>
          <w:sz w:val="32"/>
          <w:szCs w:val="32"/>
          <w:lang w:eastAsia="zh-CN"/>
        </w:rPr>
        <w:t>农业社会化服务、</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产业扶贫及消费扶贫、积极推进企事业单位改制、抓好农民培训及农产品展销工作等。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四、绩效评价工作情况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在评价过程中，结合我单位的实际情况，实施了听取情况介绍、收集资料、检查财务会计工作及工作人员座谈等形式，进行了各项评价。</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五、综合评价结果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经过政府考核，单位自评，综合得分95分。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建立完善了县乡村三级供销网络体系，确保有人管事有人履责和政令畅通。继续做好“供”字文章，提升社会化服务三农水平，做大农资剂量：一是在坚持测土配方、统防统治等服务的前提下，进一步提升服务功能，拓宽服务领域，对农业生产实行24小时全天候对接，服务到田间地头；二是坚持办点示范，提升“产供销”一条龙服务水平。继续做好“销”字文章，下大力研发了“供销之家”电商平台，为全县农副产品销售增加了新渠道。我社联合农行桃源支行，县融媒体中心投资近100万元倾力打造“供销之家”电商平台，经过一年的努力，已研发成功，目前正在进行有序测试。积极推进撤销桃源供销学校事业单位建制、湖南桃花源茶叶集团事业单位转企、桃</w:t>
      </w:r>
      <w:r>
        <w:rPr>
          <w:rFonts w:hint="eastAsia" w:ascii="Times New Roman" w:hAnsi="Times New Roman" w:eastAsia="仿宋_GB2312" w:cs="Times New Roman"/>
          <w:color w:val="000000"/>
          <w:sz w:val="32"/>
          <w:szCs w:val="32"/>
        </w:rPr>
        <w:t>源县供销社贸易公司</w:t>
      </w:r>
      <w:r>
        <w:rPr>
          <w:rFonts w:hint="eastAsia" w:ascii="Times New Roman" w:hAnsi="Times New Roman" w:eastAsia="仿宋_GB2312" w:cs="Times New Roman"/>
          <w:color w:val="000000"/>
          <w:sz w:val="32"/>
          <w:szCs w:val="32"/>
          <w:lang w:val="en-US" w:eastAsia="zh-CN"/>
        </w:rPr>
        <w:t>改制等工作。目前，桃源供销学校事业单位建制已撤销，</w:t>
      </w:r>
      <w:r>
        <w:rPr>
          <w:rFonts w:hint="eastAsia" w:ascii="Times New Roman" w:hAnsi="Times New Roman" w:eastAsia="仿宋_GB2312" w:cs="Times New Roman"/>
          <w:color w:val="000000"/>
          <w:sz w:val="32"/>
          <w:szCs w:val="32"/>
        </w:rPr>
        <w:t>事业编制和人员编制</w:t>
      </w:r>
      <w:r>
        <w:rPr>
          <w:rFonts w:hint="eastAsia" w:ascii="Times New Roman" w:hAnsi="Times New Roman" w:eastAsia="仿宋_GB2312" w:cs="Times New Roman"/>
          <w:color w:val="000000"/>
          <w:sz w:val="32"/>
          <w:szCs w:val="32"/>
          <w:lang w:val="en-US" w:eastAsia="zh-CN"/>
        </w:rPr>
        <w:t>已由县委编办核销，相关人员划转工作已经落实到位；湖南桃花源茶叶集团</w:t>
      </w:r>
      <w:r>
        <w:rPr>
          <w:rFonts w:hint="default" w:ascii="Times New Roman" w:hAnsi="Times New Roman" w:eastAsia="仿宋_GB2312" w:cs="Times New Roman"/>
          <w:color w:val="000000"/>
          <w:sz w:val="32"/>
          <w:szCs w:val="32"/>
        </w:rPr>
        <w:t>经营类</w:t>
      </w:r>
      <w:r>
        <w:rPr>
          <w:rFonts w:hint="eastAsia" w:ascii="Times New Roman" w:hAnsi="Times New Roman" w:eastAsia="仿宋_GB2312" w:cs="Times New Roman"/>
          <w:color w:val="000000"/>
          <w:sz w:val="32"/>
          <w:szCs w:val="32"/>
          <w:lang w:val="en-US" w:eastAsia="zh-CN"/>
        </w:rPr>
        <w:t>事业单位转企改制工作完成；边贸公司改制目前已进入实质性操作阶段，拟</w:t>
      </w:r>
      <w:r>
        <w:rPr>
          <w:rFonts w:hint="eastAsia" w:ascii="Times New Roman" w:hAnsi="Times New Roman" w:eastAsia="仿宋_GB2312" w:cs="Times New Roman"/>
          <w:color w:val="000000"/>
          <w:sz w:val="32"/>
          <w:szCs w:val="32"/>
        </w:rPr>
        <w:t>将固定资产拍卖变现</w:t>
      </w:r>
      <w:r>
        <w:rPr>
          <w:rFonts w:hint="eastAsia" w:ascii="Times New Roman" w:hAnsi="Times New Roman" w:eastAsia="仿宋_GB2312" w:cs="Times New Roman"/>
          <w:color w:val="000000"/>
          <w:sz w:val="32"/>
          <w:szCs w:val="32"/>
          <w:lang w:val="en-US" w:eastAsia="zh-CN"/>
        </w:rPr>
        <w:t>后</w:t>
      </w:r>
      <w:r>
        <w:rPr>
          <w:rFonts w:hint="eastAsia" w:ascii="Times New Roman" w:hAnsi="Times New Roman" w:eastAsia="仿宋_GB2312" w:cs="Times New Roman"/>
          <w:color w:val="000000"/>
          <w:sz w:val="32"/>
          <w:szCs w:val="32"/>
        </w:rPr>
        <w:t>解决职工的身份置换补偿金，养老、医疗保险欠费</w:t>
      </w:r>
      <w:r>
        <w:rPr>
          <w:rFonts w:hint="eastAsia" w:ascii="Times New Roman" w:hAnsi="Times New Roman" w:eastAsia="仿宋_GB2312" w:cs="Times New Roman"/>
          <w:color w:val="000000"/>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的工作，我单位得到了各级政府和职能部门的高度重视和关注，从资金上得到了有效的保障，较好地完成了绩效目标任务，职工满意，社会反响也高，确保了供销一方平安，为县政府维稳工作作出了应有的努力，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年的工作打下了坚实的基础。</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七、存在的主要问题及原因分析</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供销社的改制工作还不彻底，还有少数单位未完成改制；为农服务网点建设进展慢，深化供销社改革步伐不快；钉子户维稳工作难做。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八、有关建议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通过自评，建议单位加强管理，特别是制度建设的管理，把绩效目标完成得更好。</w:t>
      </w:r>
    </w:p>
    <w:tbl>
      <w:tblPr>
        <w:tblStyle w:val="4"/>
        <w:tblpPr w:leftFromText="180" w:rightFromText="180" w:vertAnchor="text" w:horzAnchor="page" w:tblpXSpec="center" w:tblpY="-58"/>
        <w:tblOverlap w:val="never"/>
        <w:tblW w:w="9440"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6"/>
        <w:gridCol w:w="3240"/>
        <w:gridCol w:w="661"/>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29" w:hRule="atLeast"/>
          <w:tblHeader/>
          <w:jc w:val="center"/>
        </w:trPr>
        <w:tc>
          <w:tcPr>
            <w:tcW w:w="9440" w:type="dxa"/>
            <w:gridSpan w:val="7"/>
            <w:tcBorders>
              <w:bottom w:val="single" w:color="auto" w:sz="4" w:space="0"/>
            </w:tcBorders>
            <w:noWrap w:val="0"/>
            <w:tcMar>
              <w:top w:w="15" w:type="dxa"/>
              <w:left w:w="15" w:type="dxa"/>
              <w:right w:w="15" w:type="dxa"/>
            </w:tcMar>
            <w:vAlign w:val="center"/>
          </w:tcPr>
          <w:p>
            <w:pPr>
              <w:widowControl/>
              <w:spacing w:before="156" w:beforeLines="50" w:after="156" w:afterLines="50"/>
              <w:jc w:val="center"/>
              <w:rPr>
                <w:rFonts w:hint="eastAsia" w:ascii="Times New Roman" w:hAnsi="Times New Roman" w:eastAsia="黑体" w:cs="Times New Roman"/>
                <w:bCs/>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8" w:hRule="atLeast"/>
          <w:tblHeader/>
          <w:jc w:val="center"/>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一级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二级</w:t>
            </w:r>
            <w:r>
              <w:rPr>
                <w:rFonts w:ascii="Times New Roman" w:hAnsi="Times New Roman" w:eastAsia="黑体" w:cs="Times New Roman"/>
                <w:bCs/>
                <w:kern w:val="0"/>
                <w:sz w:val="24"/>
                <w:szCs w:val="24"/>
                <w:lang w:bidi="ar"/>
              </w:rPr>
              <w:br w:type="textWrapping"/>
            </w:r>
            <w:r>
              <w:rPr>
                <w:rFonts w:ascii="Times New Roman" w:hAnsi="Times New Roman" w:eastAsia="黑体" w:cs="Times New Roman"/>
                <w:bCs/>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lang w:bidi="ar"/>
              </w:rPr>
            </w:pPr>
            <w:r>
              <w:rPr>
                <w:rFonts w:ascii="Times New Roman" w:hAnsi="Times New Roman" w:eastAsia="黑体" w:cs="Times New Roman"/>
                <w:bCs/>
                <w:kern w:val="0"/>
                <w:sz w:val="24"/>
                <w:szCs w:val="24"/>
                <w:lang w:bidi="ar"/>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分值</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指标解释</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lang w:bidi="ar"/>
              </w:rPr>
              <w:t>评分标准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自评</w:t>
            </w:r>
          </w:p>
          <w:p>
            <w:pPr>
              <w:widowControl/>
              <w:spacing w:line="300" w:lineRule="exact"/>
              <w:jc w:val="center"/>
              <w:textAlignment w:val="center"/>
              <w:rPr>
                <w:rFonts w:ascii="Times New Roman" w:hAnsi="Times New Roman" w:eastAsia="黑体" w:cs="Times New Roman"/>
                <w:bCs/>
                <w:kern w:val="0"/>
                <w:sz w:val="24"/>
                <w:szCs w:val="24"/>
                <w:lang w:bidi="ar"/>
              </w:rPr>
            </w:pPr>
            <w:r>
              <w:rPr>
                <w:rFonts w:hint="eastAsia" w:ascii="Times New Roman" w:hAnsi="Times New Roman" w:eastAsia="黑体" w:cs="Times New Roman"/>
                <w:bCs/>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71"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目标</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部门（单位）所设立的整体绩效目标依据是否充分，是否符合客观实际，用以反映和考核部门（单位）整体绩效目标与部门履职、年度工作任务的相符性情况。</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③符合部门制定的中长期实施规划，得3分。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0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7</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部门（单位）依据整体绩效目标所设定的绩效指标是否清晰、细化、可衡量，用以反映和考核部门（单位）整体绩效目标的明细化情况。</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④与本年度部门预算资金相匹配，得2分。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0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3</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在职人员数：部门（单位）实际在职人数，以财政部</w:t>
            </w:r>
            <w:r>
              <w:rPr>
                <w:rFonts w:hint="eastAsia" w:ascii="Times New Roman" w:hAnsi="Times New Roman" w:eastAsia="仿宋" w:cs="Times New Roman"/>
                <w:kern w:val="0"/>
                <w:sz w:val="24"/>
                <w:szCs w:val="24"/>
                <w:lang w:bidi="ar"/>
              </w:rPr>
              <w:t>门</w:t>
            </w:r>
            <w:r>
              <w:rPr>
                <w:rFonts w:ascii="Times New Roman" w:hAnsi="Times New Roman" w:eastAsia="仿宋" w:cs="Times New Roman"/>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编制数：机构编制部门核定批复的部门（单位）的人员编制数。</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8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“三公经费”：年度预算安排的因公出国（境）费、公务车辆购置及运行费和公务招待费。</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每超过一个百分点扣0.5分，扣完为止。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项目总支出：部门（单位）年度预算安排的项目支出总额。</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＜60%，得0分。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164"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4</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预算完成率=（上年结转+年初预算+本年追加-年末结余）/（上年结转+年初预算+本年追加）×100%。</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每降低5%，扣1分，扣完为止。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本年追加预算：部门（单位）在本年度内涉及预算的追加资金总和（因落实国家政策、发生不可抗力、上级部门或本级党委政府临时交办而产生的调整除外）。</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＞20%，得0分。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73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楼堂馆所面积控制率=实际建设面积/批准建设面积×100% 。</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该指标以20××年完工的新建楼堂馆所为评价内容。</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1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该指标以20</w:t>
            </w:r>
            <w:r>
              <w:rPr>
                <w:rFonts w:hint="eastAsia" w:ascii="Times New Roman" w:hAnsi="Times New Roman" w:eastAsia="仿宋" w:cs="Times New Roman"/>
                <w:kern w:val="0"/>
                <w:sz w:val="24"/>
                <w:szCs w:val="24"/>
                <w:lang w:bidi="ar"/>
              </w:rPr>
              <w:t>19</w:t>
            </w:r>
            <w:r>
              <w:rPr>
                <w:rFonts w:ascii="Times New Roman" w:hAnsi="Times New Roman" w:eastAsia="仿宋" w:cs="Times New Roman"/>
                <w:kern w:val="0"/>
                <w:sz w:val="24"/>
                <w:szCs w:val="24"/>
                <w:lang w:bidi="ar"/>
              </w:rPr>
              <w:t>年完工的新建楼堂馆所为评价内容。</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没有楼梯馆所项目的部门剔除此项指标。</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36"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公用经费控制率=（实际支出公用经费总额/预算安排公用经费总额）×100%。</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2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“三公经费”控制率=（“三公经费”实际支出数/“三公经费”预算安排数）×100%。</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每超过5%，扣1分，扣完为止。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26"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政府采购预算：采购机关根据事业发展计划和行政任务编制的、并经过规定程序批准的年度政府采购计划。 </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每超过（降低）5%，扣1分，扣完为止。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预算</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③相关管理制度是否得到有效执行。</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31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⑤是否存在截留、挤占、挪用、虚列支出等情况。</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2</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②基础数据信息和会计信息资料是否真实、完整、准确。预决算信息是指与部门预算、执行、决算、监督、绩效等管理相关的信息。</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每发现一类不合规问题，扣1分，扣完为止。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7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是否已制定或具有资产管理制度；相关资金管理制度是否合法、合规、完整；相关资产管理制度是否得到有效执行。</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 xml:space="preserve"> ②相关资产管理制度得到有效执行，得0.5分。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1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资产是否保存完整、使用合规、配置合理、处置规范、收入及时足额上缴。</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②资产账务管理合规，帐实相符，得0.5分；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72"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固定资产利用率=（实际在用固定资产总额/所有固定资产总额）×100%。</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每低于1%，扣0.1分，扣完为止。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79"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职责</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17</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从实际完成率、完成及时率、质量达标率等方面设置</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734"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部门（单位）年度重点工作实际完成数与交办或下达数的比率，用以反映部门（单位）对重点工作的办理落实程度。</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重点工作是指党委、政府、人大、相关部门交办或下达的工作任务。</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0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履职</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部门（单位）履行职责对经济发展所带来的直接或间接影响。</w:t>
            </w:r>
          </w:p>
        </w:tc>
        <w:tc>
          <w:tcPr>
            <w:tcW w:w="324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3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部门（单位）履行职责对社会发展所带来的直接或间接影响。</w:t>
            </w:r>
          </w:p>
        </w:tc>
        <w:tc>
          <w:tcPr>
            <w:tcW w:w="32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部门（单位）履行职责对生态环境所带来的直接或间接影响。</w:t>
            </w:r>
          </w:p>
        </w:tc>
        <w:tc>
          <w:tcPr>
            <w:tcW w:w="324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6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政府对机关工作实施情况的具体评价，以年度政府考核结果为依据。</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优秀计5分，良好计3分，合格计1分，不合格计0分。</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default"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92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5</w:t>
            </w:r>
          </w:p>
        </w:tc>
        <w:tc>
          <w:tcPr>
            <w:tcW w:w="337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社会公众或部门（单位）的服务对象对部门履职效果的满意程度。</w:t>
            </w:r>
            <w:r>
              <w:rPr>
                <w:rFonts w:ascii="Times New Roman" w:hAnsi="Times New Roman" w:eastAsia="仿宋" w:cs="Times New Roman"/>
                <w:kern w:val="0"/>
                <w:sz w:val="24"/>
                <w:szCs w:val="24"/>
                <w:lang w:bidi="ar"/>
              </w:rPr>
              <w:br w:type="textWrapping"/>
            </w:r>
            <w:r>
              <w:rPr>
                <w:rFonts w:ascii="Times New Roman" w:hAnsi="Times New Roman" w:eastAsia="仿宋" w:cs="Times New Roman"/>
                <w:kern w:val="0"/>
                <w:sz w:val="24"/>
                <w:szCs w:val="24"/>
                <w:lang w:bidi="ar"/>
              </w:rPr>
              <w:t>社会公众或服务对象是指部门（单位）履行职责而影响到的部门、群体或个人。</w:t>
            </w:r>
          </w:p>
        </w:tc>
        <w:tc>
          <w:tcPr>
            <w:tcW w:w="324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lang w:bidi="ar"/>
              </w:rPr>
            </w:pPr>
            <w:r>
              <w:rPr>
                <w:rFonts w:ascii="Times New Roman" w:hAnsi="Times New Roman" w:eastAsia="仿宋" w:cs="Times New Roman"/>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每降低1%，扣0.5分，扣完为止。</w:t>
            </w:r>
          </w:p>
        </w:tc>
        <w:tc>
          <w:tcPr>
            <w:tcW w:w="6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kern w:val="0"/>
                <w:sz w:val="24"/>
                <w:szCs w:val="24"/>
                <w:lang w:val="en-US" w:eastAsia="zh-CN" w:bidi="ar"/>
              </w:rPr>
            </w:pPr>
            <w:r>
              <w:rPr>
                <w:rFonts w:hint="eastAsia" w:ascii="Times New Roman" w:hAnsi="Times New Roman" w:eastAsia="仿宋" w:cs="Times New Roman"/>
                <w:kern w:val="0"/>
                <w:sz w:val="24"/>
                <w:szCs w:val="24"/>
                <w:lang w:val="en-US" w:eastAsia="zh-CN"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70" w:hRule="atLeast"/>
          <w:jc w:val="center"/>
        </w:trPr>
        <w:tc>
          <w:tcPr>
            <w:tcW w:w="11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lang w:bidi="ar"/>
              </w:rPr>
              <w:t>100</w:t>
            </w:r>
          </w:p>
        </w:tc>
        <w:tc>
          <w:tcPr>
            <w:tcW w:w="337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4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98</w:t>
            </w:r>
          </w:p>
        </w:tc>
      </w:tr>
    </w:tbl>
    <w:p>
      <w:pPr>
        <w:spacing w:line="560" w:lineRule="exact"/>
        <w:jc w:val="center"/>
        <w:rPr>
          <w:rFonts w:ascii="Times New Roman" w:hAnsi="Times New Roman" w:eastAsia="黑体" w:cs="Times New Roman"/>
          <w:kern w:val="0"/>
          <w:sz w:val="32"/>
          <w:szCs w:val="32"/>
        </w:rPr>
      </w:pPr>
      <w:r>
        <w:rPr>
          <w:rFonts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桃源县供销合作社联合社</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4"/>
        <w:tblW w:w="9098" w:type="dxa"/>
        <w:jc w:val="center"/>
        <w:tblLayout w:type="fixed"/>
        <w:tblCellMar>
          <w:top w:w="0" w:type="dxa"/>
          <w:left w:w="108" w:type="dxa"/>
          <w:bottom w:w="0" w:type="dxa"/>
          <w:right w:w="108" w:type="dxa"/>
        </w:tblCellMar>
      </w:tblPr>
      <w:tblGrid>
        <w:gridCol w:w="3315"/>
        <w:gridCol w:w="1099"/>
        <w:gridCol w:w="752"/>
        <w:gridCol w:w="931"/>
        <w:gridCol w:w="1049"/>
        <w:gridCol w:w="1004"/>
        <w:gridCol w:w="948"/>
      </w:tblGrid>
      <w:tr>
        <w:tblPrEx>
          <w:tblCellMar>
            <w:top w:w="0" w:type="dxa"/>
            <w:left w:w="108" w:type="dxa"/>
            <w:bottom w:w="0" w:type="dxa"/>
            <w:right w:w="108" w:type="dxa"/>
          </w:tblCellMar>
        </w:tblPrEx>
        <w:trPr>
          <w:trHeight w:val="643" w:hRule="atLeast"/>
          <w:jc w:val="center"/>
        </w:trPr>
        <w:tc>
          <w:tcPr>
            <w:tcW w:w="33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90" w:hRule="atLeast"/>
          <w:jc w:val="center"/>
        </w:trPr>
        <w:tc>
          <w:tcPr>
            <w:tcW w:w="33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8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ascii="Times New Roman" w:hAnsi="Times New Roman" w:eastAsia="仿宋" w:cs="Times New Roman"/>
                <w:kern w:val="0"/>
                <w:sz w:val="24"/>
                <w:szCs w:val="24"/>
              </w:rPr>
              <w:t>　</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20</w:t>
            </w:r>
          </w:p>
        </w:tc>
        <w:tc>
          <w:tcPr>
            <w:tcW w:w="195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2019年决算数</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2020年预算数</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2020年决算数</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188900</w:t>
            </w:r>
            <w:r>
              <w:rPr>
                <w:rFonts w:ascii="Times New Roman" w:hAnsi="Times New Roman" w:eastAsia="仿宋" w:cs="Times New Roman"/>
                <w:kern w:val="0"/>
                <w:sz w:val="24"/>
                <w:szCs w:val="24"/>
              </w:rPr>
              <w:t>　</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150000</w:t>
            </w: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124273</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188900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124273</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1000000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1000000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1000000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290"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980700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864900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883669</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60000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19086</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2.</w:t>
            </w:r>
            <w:r>
              <w:rPr>
                <w:rFonts w:ascii="Times New Roman" w:hAnsi="Times New Roman" w:eastAsia="仿宋" w:cs="Times New Roman"/>
                <w:kern w:val="0"/>
                <w:sz w:val="24"/>
                <w:szCs w:val="24"/>
              </w:rPr>
              <w:t>水电费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18500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36000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40887</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3.</w:t>
            </w:r>
            <w:r>
              <w:rPr>
                <w:rFonts w:ascii="Times New Roman" w:hAnsi="Times New Roman" w:eastAsia="仿宋" w:cs="Times New Roman"/>
                <w:kern w:val="0"/>
                <w:sz w:val="24"/>
                <w:szCs w:val="24"/>
              </w:rPr>
              <w:t>差旅费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26000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95112</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4.</w:t>
            </w:r>
            <w:r>
              <w:rPr>
                <w:rFonts w:ascii="Times New Roman" w:hAnsi="Times New Roman" w:eastAsia="仿宋" w:cs="Times New Roman"/>
                <w:kern w:val="0"/>
                <w:sz w:val="24"/>
                <w:szCs w:val="24"/>
              </w:rPr>
              <w:t>会议费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11700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5.</w:t>
            </w:r>
            <w:r>
              <w:rPr>
                <w:rFonts w:ascii="Times New Roman" w:hAnsi="Times New Roman" w:eastAsia="仿宋" w:cs="Times New Roman"/>
                <w:kern w:val="0"/>
                <w:sz w:val="24"/>
                <w:szCs w:val="24"/>
              </w:rPr>
              <w:t>培训费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12000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6.印刷费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3616</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7.邮电费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6100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24370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8.物业管理费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33000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62500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9.维修费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77689</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10.租赁费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360000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40000</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ind w:firstLine="480" w:firstLineChars="200"/>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11.劳务费</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88500</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120000</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93958</w:t>
            </w:r>
          </w:p>
        </w:tc>
      </w:tr>
      <w:tr>
        <w:tblPrEx>
          <w:tblCellMar>
            <w:top w:w="0" w:type="dxa"/>
            <w:left w:w="108" w:type="dxa"/>
            <w:bottom w:w="0" w:type="dxa"/>
            <w:right w:w="108" w:type="dxa"/>
          </w:tblCellMar>
        </w:tblPrEx>
        <w:trPr>
          <w:trHeight w:val="290"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23700</w:t>
            </w: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23700</w:t>
            </w: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2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960" w:hRule="atLeast"/>
          <w:jc w:val="center"/>
        </w:trPr>
        <w:tc>
          <w:tcPr>
            <w:tcW w:w="33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09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4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290" w:hRule="atLeast"/>
          <w:jc w:val="center"/>
        </w:trPr>
        <w:tc>
          <w:tcPr>
            <w:tcW w:w="331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kern w:val="0"/>
                <w:sz w:val="24"/>
                <w:szCs w:val="24"/>
              </w:rPr>
            </w:pPr>
          </w:p>
        </w:tc>
        <w:tc>
          <w:tcPr>
            <w:tcW w:w="109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752"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931"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1049"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1004"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c>
          <w:tcPr>
            <w:tcW w:w="948"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36" w:hRule="atLeast"/>
          <w:jc w:val="center"/>
        </w:trPr>
        <w:tc>
          <w:tcPr>
            <w:tcW w:w="3315"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83" w:type="dxa"/>
            <w:gridSpan w:val="6"/>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kern w:val="0"/>
                <w:sz w:val="24"/>
                <w:szCs w:val="24"/>
              </w:rPr>
            </w:pPr>
            <w:r>
              <w:rPr>
                <w:rFonts w:hint="eastAsia" w:ascii="仿宋_GB2312" w:hAnsi="仿宋_GB2312" w:eastAsia="仿宋_GB2312" w:cs="仿宋_GB2312"/>
                <w:i w:val="0"/>
                <w:iCs w:val="0"/>
                <w:caps w:val="0"/>
                <w:color w:val="333333"/>
                <w:spacing w:val="0"/>
                <w:sz w:val="24"/>
                <w:szCs w:val="24"/>
                <w:shd w:val="clear" w:fill="FFFFFF"/>
              </w:rPr>
              <w:t>倡导节约风气</w:t>
            </w:r>
            <w:r>
              <w:rPr>
                <w:rFonts w:hint="eastAsia" w:ascii="仿宋_GB2312" w:hAnsi="仿宋_GB2312" w:eastAsia="仿宋_GB2312" w:cs="仿宋_GB2312"/>
                <w:i w:val="0"/>
                <w:iCs w:val="0"/>
                <w:caps w:val="0"/>
                <w:color w:val="333333"/>
                <w:spacing w:val="0"/>
                <w:sz w:val="24"/>
                <w:szCs w:val="24"/>
                <w:shd w:val="clear" w:fill="FFFFFF"/>
                <w:lang w:eastAsia="zh-CN"/>
              </w:rPr>
              <w:t>、</w:t>
            </w:r>
            <w:r>
              <w:rPr>
                <w:rFonts w:hint="eastAsia" w:ascii="仿宋_GB2312" w:hAnsi="仿宋_GB2312" w:eastAsia="仿宋_GB2312" w:cs="仿宋_GB2312"/>
                <w:i w:val="0"/>
                <w:iCs w:val="0"/>
                <w:caps w:val="0"/>
                <w:color w:val="333333"/>
                <w:spacing w:val="0"/>
                <w:sz w:val="24"/>
                <w:szCs w:val="24"/>
                <w:shd w:val="clear" w:fill="FFFFFF"/>
              </w:rPr>
              <w:t>加强监督提醒</w:t>
            </w:r>
            <w:r>
              <w:rPr>
                <w:rFonts w:hint="eastAsia" w:ascii="仿宋_GB2312" w:hAnsi="仿宋_GB2312" w:eastAsia="仿宋_GB2312" w:cs="仿宋_GB2312"/>
                <w:i w:val="0"/>
                <w:iCs w:val="0"/>
                <w:caps w:val="0"/>
                <w:color w:val="333333"/>
                <w:spacing w:val="0"/>
                <w:sz w:val="24"/>
                <w:szCs w:val="24"/>
                <w:shd w:val="clear" w:fill="FFFFFF"/>
                <w:lang w:eastAsia="zh-CN"/>
              </w:rPr>
              <w:t>、</w:t>
            </w:r>
            <w:r>
              <w:rPr>
                <w:rFonts w:hint="eastAsia" w:ascii="仿宋_GB2312" w:hAnsi="仿宋_GB2312" w:eastAsia="仿宋_GB2312" w:cs="仿宋_GB2312"/>
                <w:i w:val="0"/>
                <w:iCs w:val="0"/>
                <w:caps w:val="0"/>
                <w:color w:val="333333"/>
                <w:spacing w:val="0"/>
                <w:sz w:val="24"/>
                <w:szCs w:val="24"/>
                <w:shd w:val="clear" w:fill="FFFFFF"/>
              </w:rPr>
              <w:t>建立长效机制。</w:t>
            </w:r>
            <w:r>
              <w:rPr>
                <w:rFonts w:ascii="Times New Roman" w:hAnsi="Times New Roman" w:eastAsia="仿宋" w:cs="Times New Roman"/>
                <w:kern w:val="0"/>
                <w:sz w:val="24"/>
                <w:szCs w:val="24"/>
              </w:rPr>
              <w:t>　</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hint="eastAsia" w:ascii="仿宋_GB2312" w:hAnsi="仿宋_GB2312" w:eastAsia="仿宋_GB2312" w:cs="仿宋_GB2312"/>
          <w:sz w:val="32"/>
          <w:szCs w:val="32"/>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bookmarkStart w:id="0" w:name="_GoBack"/>
      <w:bookmarkEnd w:id="0"/>
    </w:p>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both"/>
      <w:rPr>
        <w:rFonts w:hint="default" w:ascii="宋体" w:hAnsi="宋体" w:eastAsia="宋体"/>
        <w:sz w:val="28"/>
        <w:szCs w:val="2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280" w:firstLineChars="100"/>
      <w:rPr>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1965"/>
    <w:rsid w:val="082F2543"/>
    <w:rsid w:val="0C8A7E08"/>
    <w:rsid w:val="11F6508A"/>
    <w:rsid w:val="1990235A"/>
    <w:rsid w:val="1AF075D0"/>
    <w:rsid w:val="1C855699"/>
    <w:rsid w:val="23961965"/>
    <w:rsid w:val="2B510108"/>
    <w:rsid w:val="2CE77A6F"/>
    <w:rsid w:val="2F203D80"/>
    <w:rsid w:val="2F7603F1"/>
    <w:rsid w:val="30C96794"/>
    <w:rsid w:val="33840CD4"/>
    <w:rsid w:val="3CBE6CFE"/>
    <w:rsid w:val="416C764A"/>
    <w:rsid w:val="428A059F"/>
    <w:rsid w:val="500802B9"/>
    <w:rsid w:val="555A24AB"/>
    <w:rsid w:val="574243C4"/>
    <w:rsid w:val="5A025A02"/>
    <w:rsid w:val="5E0D574E"/>
    <w:rsid w:val="6313526C"/>
    <w:rsid w:val="695A659E"/>
    <w:rsid w:val="69DE2C5F"/>
    <w:rsid w:val="7082497B"/>
    <w:rsid w:val="7980437A"/>
    <w:rsid w:val="7B22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2021-08-27T03:31:00Z</dcterms:created>
  <dc:creator>Administrator</dc:creator>
  <cp:lastModifiedBy>Administrator</cp:lastModifiedBy>
  <dcterms:modified xsi:type="dcterms:W3CDTF">2021-09-01T07:54:17Z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3442828EFB554EEEB3FCCBAC317806C9</vt:lpwstr>
  </property>
</Properties>
</file>