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jc w:val="center"/>
        <w:rPr>
          <w:rFonts w:hint="eastAsia" w:hAnsiTheme="minorHAnsi"/>
          <w:sz w:val="84"/>
          <w:szCs w:val="84"/>
        </w:rPr>
      </w:pPr>
    </w:p>
    <w:p>
      <w:pPr>
        <w:pStyle w:val="18"/>
        <w:jc w:val="center"/>
        <w:rPr>
          <w:rFonts w:hint="eastAsia" w:hAnsiTheme="minorHAnsi"/>
          <w:sz w:val="84"/>
          <w:szCs w:val="84"/>
        </w:rPr>
      </w:pPr>
    </w:p>
    <w:p>
      <w:pPr>
        <w:pStyle w:val="18"/>
        <w:jc w:val="center"/>
        <w:rPr>
          <w:rFonts w:hint="eastAsia" w:hAnsiTheme="minorHAnsi"/>
          <w:sz w:val="84"/>
          <w:szCs w:val="84"/>
        </w:rPr>
      </w:pPr>
    </w:p>
    <w:p>
      <w:pPr>
        <w:pStyle w:val="18"/>
        <w:jc w:val="center"/>
        <w:rPr>
          <w:rFonts w:hint="eastAsia" w:hAnsiTheme="minorHAnsi"/>
          <w:sz w:val="84"/>
          <w:szCs w:val="84"/>
        </w:rPr>
      </w:pPr>
      <w:r>
        <w:rPr>
          <w:rFonts w:hint="eastAsia" w:hAnsiTheme="minorHAnsi"/>
          <w:sz w:val="84"/>
          <w:szCs w:val="84"/>
        </w:rPr>
        <w:t>2022年度</w:t>
      </w:r>
    </w:p>
    <w:p>
      <w:pPr>
        <w:pStyle w:val="18"/>
        <w:jc w:val="center"/>
        <w:rPr>
          <w:rFonts w:hint="eastAsia" w:hAnsiTheme="minorHAnsi"/>
          <w:sz w:val="84"/>
          <w:szCs w:val="84"/>
        </w:rPr>
      </w:pPr>
    </w:p>
    <w:p>
      <w:pPr>
        <w:pStyle w:val="18"/>
        <w:jc w:val="center"/>
        <w:rPr>
          <w:rFonts w:hint="eastAsia" w:hAnsiTheme="minorHAnsi"/>
          <w:sz w:val="84"/>
          <w:szCs w:val="84"/>
        </w:rPr>
      </w:pPr>
      <w:r>
        <w:rPr>
          <w:rFonts w:hint="eastAsia" w:hAnsiTheme="minorHAnsi"/>
          <w:sz w:val="84"/>
          <w:szCs w:val="84"/>
        </w:rPr>
        <w:t>桃源县农村经营服务站</w:t>
      </w:r>
    </w:p>
    <w:p>
      <w:pPr>
        <w:pStyle w:val="18"/>
        <w:jc w:val="center"/>
        <w:rPr>
          <w:rFonts w:hint="eastAsia" w:hAnsiTheme="minorHAnsi"/>
          <w:sz w:val="84"/>
          <w:szCs w:val="84"/>
        </w:rPr>
      </w:pPr>
    </w:p>
    <w:p>
      <w:pPr>
        <w:pStyle w:val="18"/>
        <w:shd w:val="clear"/>
        <w:jc w:val="center"/>
        <w:rPr>
          <w:rStyle w:val="11"/>
          <w:rFonts w:hint="eastAsia" w:cs="Arial"/>
          <w:color w:val="333333"/>
          <w:sz w:val="48"/>
          <w:szCs w:val="48"/>
          <w:shd w:val="clear" w:color="auto" w:fill="FFFFFF"/>
        </w:rPr>
      </w:pPr>
      <w:r>
        <w:rPr>
          <w:rFonts w:hint="eastAsia" w:hAnsiTheme="minorHAnsi"/>
          <w:sz w:val="84"/>
          <w:szCs w:val="84"/>
        </w:rPr>
        <w:t>部门预算</w:t>
      </w:r>
    </w:p>
    <w:p>
      <w:pPr>
        <w:pStyle w:val="7"/>
        <w:shd w:val="clear"/>
        <w:spacing w:before="0" w:beforeAutospacing="0" w:after="0" w:afterAutospacing="0" w:line="600" w:lineRule="exact"/>
        <w:jc w:val="center"/>
        <w:rPr>
          <w:rStyle w:val="11"/>
          <w:rFonts w:hint="eastAsia" w:cs="Arial"/>
          <w:color w:val="333333"/>
          <w:sz w:val="48"/>
          <w:szCs w:val="48"/>
          <w:shd w:val="clear" w:color="auto" w:fill="FFFFFF"/>
        </w:rPr>
      </w:pPr>
    </w:p>
    <w:p>
      <w:pPr>
        <w:pStyle w:val="7"/>
        <w:shd w:val="clear"/>
        <w:spacing w:before="0" w:beforeAutospacing="0" w:after="0" w:afterAutospacing="0" w:line="600" w:lineRule="exact"/>
        <w:jc w:val="center"/>
        <w:rPr>
          <w:rStyle w:val="11"/>
          <w:rFonts w:hint="eastAsia" w:cs="Arial"/>
          <w:color w:val="333333"/>
          <w:sz w:val="48"/>
          <w:szCs w:val="48"/>
          <w:shd w:val="clear" w:color="auto" w:fill="FFFFFF"/>
        </w:rPr>
      </w:pPr>
    </w:p>
    <w:p>
      <w:pPr>
        <w:pStyle w:val="7"/>
        <w:shd w:val="clear"/>
        <w:spacing w:before="0" w:beforeAutospacing="0" w:after="0" w:afterAutospacing="0" w:line="600" w:lineRule="exact"/>
        <w:jc w:val="center"/>
        <w:rPr>
          <w:rStyle w:val="11"/>
          <w:rFonts w:hint="eastAsia" w:cs="Arial"/>
          <w:color w:val="333333"/>
          <w:sz w:val="48"/>
          <w:szCs w:val="48"/>
          <w:shd w:val="clear" w:color="auto" w:fill="FFFFFF"/>
        </w:rPr>
      </w:pPr>
    </w:p>
    <w:p>
      <w:pPr>
        <w:pStyle w:val="7"/>
        <w:shd w:val="clear"/>
        <w:spacing w:before="0" w:beforeAutospacing="0" w:after="0" w:afterAutospacing="0" w:line="600" w:lineRule="exact"/>
        <w:jc w:val="center"/>
        <w:rPr>
          <w:rStyle w:val="11"/>
          <w:rFonts w:hint="eastAsia" w:cs="Arial"/>
          <w:color w:val="333333"/>
          <w:sz w:val="48"/>
          <w:szCs w:val="48"/>
          <w:shd w:val="clear" w:color="auto" w:fill="FFFFFF"/>
        </w:rPr>
      </w:pPr>
    </w:p>
    <w:p>
      <w:pPr>
        <w:pStyle w:val="7"/>
        <w:shd w:val="clear"/>
        <w:spacing w:before="0" w:beforeAutospacing="0" w:after="0" w:afterAutospacing="0" w:line="600" w:lineRule="exact"/>
        <w:jc w:val="center"/>
        <w:rPr>
          <w:rStyle w:val="11"/>
          <w:rFonts w:hint="eastAsia" w:cs="Arial"/>
          <w:color w:val="333333"/>
          <w:sz w:val="48"/>
          <w:szCs w:val="48"/>
          <w:shd w:val="clear" w:color="auto" w:fill="FFFFFF"/>
        </w:rPr>
      </w:pPr>
    </w:p>
    <w:p>
      <w:pPr>
        <w:pStyle w:val="7"/>
        <w:shd w:val="clear"/>
        <w:spacing w:before="0" w:beforeAutospacing="0" w:after="0" w:afterAutospacing="0" w:line="600" w:lineRule="exact"/>
        <w:jc w:val="center"/>
        <w:rPr>
          <w:rStyle w:val="11"/>
          <w:rFonts w:hint="eastAsia" w:cs="Arial"/>
          <w:color w:val="333333"/>
          <w:sz w:val="48"/>
          <w:szCs w:val="48"/>
          <w:shd w:val="clear" w:color="auto" w:fill="FFFFFF"/>
        </w:rPr>
      </w:pPr>
    </w:p>
    <w:p>
      <w:pPr>
        <w:pStyle w:val="7"/>
        <w:shd w:val="clear"/>
        <w:spacing w:before="0" w:beforeAutospacing="0" w:after="0" w:afterAutospacing="0" w:line="600" w:lineRule="exact"/>
        <w:jc w:val="center"/>
        <w:rPr>
          <w:rStyle w:val="11"/>
          <w:rFonts w:hint="eastAsia" w:cs="Arial"/>
          <w:color w:val="333333"/>
          <w:sz w:val="48"/>
          <w:szCs w:val="48"/>
          <w:shd w:val="clear" w:color="auto" w:fill="FFFFFF"/>
        </w:rPr>
      </w:pPr>
    </w:p>
    <w:p>
      <w:pPr>
        <w:pStyle w:val="7"/>
        <w:shd w:val="clear"/>
        <w:spacing w:before="0" w:beforeAutospacing="0" w:after="0" w:afterAutospacing="0" w:line="600" w:lineRule="exact"/>
        <w:jc w:val="center"/>
        <w:rPr>
          <w:rFonts w:cs="黑体"/>
          <w:color w:val="333333"/>
          <w:sz w:val="48"/>
          <w:szCs w:val="48"/>
          <w:shd w:val="clear" w:color="auto" w:fill="FFFFFF"/>
        </w:rPr>
      </w:pPr>
    </w:p>
    <w:p>
      <w:pPr>
        <w:pStyle w:val="7"/>
        <w:keepNext w:val="0"/>
        <w:keepLines w:val="0"/>
        <w:pageBreakBefore w:val="0"/>
        <w:widowControl/>
        <w:shd w:val="clear"/>
        <w:kinsoku/>
        <w:wordWrap/>
        <w:overflowPunct/>
        <w:topLinePunct w:val="0"/>
        <w:autoSpaceDE/>
        <w:autoSpaceDN/>
        <w:bidi w:val="0"/>
        <w:snapToGrid/>
        <w:spacing w:before="0" w:beforeAutospacing="0" w:after="0" w:afterAutospacing="0" w:line="720" w:lineRule="exact"/>
        <w:jc w:val="center"/>
        <w:textAlignment w:val="auto"/>
        <w:rPr>
          <w:rFonts w:cs="黑体"/>
          <w:b/>
          <w:bCs/>
          <w:color w:val="333333"/>
          <w:sz w:val="56"/>
          <w:szCs w:val="56"/>
          <w:shd w:val="clear" w:color="auto" w:fill="FFFFFF"/>
        </w:rPr>
      </w:pPr>
      <w:r>
        <w:rPr>
          <w:rFonts w:cs="黑体"/>
          <w:b/>
          <w:bCs/>
          <w:color w:val="333333"/>
          <w:sz w:val="56"/>
          <w:szCs w:val="56"/>
          <w:shd w:val="clear" w:color="auto" w:fill="FFFFFF"/>
        </w:rPr>
        <w:t>目</w:t>
      </w:r>
      <w:r>
        <w:rPr>
          <w:rFonts w:cs="微软雅黑"/>
          <w:b/>
          <w:bCs/>
          <w:color w:val="333333"/>
          <w:sz w:val="56"/>
          <w:szCs w:val="56"/>
          <w:shd w:val="clear" w:color="auto" w:fill="FFFFFF"/>
        </w:rPr>
        <w:t xml:space="preserve"> </w:t>
      </w:r>
      <w:r>
        <w:rPr>
          <w:rFonts w:hint="eastAsia" w:cs="黑体"/>
          <w:b/>
          <w:bCs/>
          <w:color w:val="333333"/>
          <w:sz w:val="56"/>
          <w:szCs w:val="56"/>
          <w:shd w:val="clear" w:color="auto" w:fill="FFFFFF"/>
        </w:rPr>
        <w:t>录</w:t>
      </w:r>
    </w:p>
    <w:p>
      <w:pPr>
        <w:pStyle w:val="7"/>
        <w:keepNext w:val="0"/>
        <w:keepLines w:val="0"/>
        <w:pageBreakBefore w:val="0"/>
        <w:widowControl/>
        <w:shd w:val="clear"/>
        <w:kinsoku/>
        <w:wordWrap/>
        <w:overflowPunct/>
        <w:topLinePunct w:val="0"/>
        <w:autoSpaceDE/>
        <w:autoSpaceDN/>
        <w:bidi w:val="0"/>
        <w:snapToGrid/>
        <w:spacing w:before="0" w:beforeAutospacing="0" w:after="0" w:afterAutospacing="0" w:line="720" w:lineRule="exact"/>
        <w:jc w:val="both"/>
        <w:textAlignment w:val="auto"/>
        <w:rPr>
          <w:rFonts w:cs="微软雅黑"/>
          <w:b/>
          <w:bCs/>
          <w:color w:val="333333"/>
          <w:sz w:val="56"/>
          <w:szCs w:val="56"/>
        </w:rPr>
      </w:pP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b/>
          <w:bCs/>
          <w:color w:val="333333"/>
          <w:sz w:val="36"/>
          <w:szCs w:val="36"/>
        </w:rPr>
      </w:pPr>
      <w:r>
        <w:rPr>
          <w:rFonts w:hint="eastAsia" w:cs="微软雅黑"/>
          <w:b/>
          <w:bCs/>
          <w:color w:val="333333"/>
          <w:sz w:val="36"/>
          <w:szCs w:val="36"/>
        </w:rPr>
        <w:t xml:space="preserve">第一部分 </w:t>
      </w:r>
      <w:r>
        <w:rPr>
          <w:rFonts w:hint="eastAsia" w:cs="微软雅黑"/>
          <w:b/>
          <w:bCs/>
          <w:color w:val="333333"/>
          <w:sz w:val="36"/>
          <w:szCs w:val="36"/>
          <w:lang w:val="en-US" w:eastAsia="zh-CN"/>
        </w:rPr>
        <w:t xml:space="preserve"> </w:t>
      </w:r>
      <w:r>
        <w:rPr>
          <w:rFonts w:hint="eastAsia" w:cs="微软雅黑"/>
          <w:b/>
          <w:bCs/>
          <w:color w:val="333333"/>
          <w:sz w:val="36"/>
          <w:szCs w:val="36"/>
        </w:rPr>
        <w:t>2022年部门预算说明</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b/>
          <w:bCs/>
          <w:color w:val="333333"/>
          <w:sz w:val="36"/>
          <w:szCs w:val="36"/>
        </w:rPr>
      </w:pPr>
      <w:r>
        <w:rPr>
          <w:rFonts w:hint="eastAsia" w:cs="微软雅黑"/>
          <w:b/>
          <w:bCs/>
          <w:color w:val="333333"/>
          <w:sz w:val="36"/>
          <w:szCs w:val="36"/>
        </w:rPr>
        <w:t>一、部门基本概况</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（一）职能职责</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（二）机构设置</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b/>
          <w:bCs/>
          <w:color w:val="333333"/>
          <w:sz w:val="36"/>
          <w:szCs w:val="36"/>
        </w:rPr>
      </w:pPr>
      <w:r>
        <w:rPr>
          <w:rFonts w:hint="eastAsia" w:cs="微软雅黑"/>
          <w:b/>
          <w:bCs/>
          <w:color w:val="333333"/>
          <w:sz w:val="36"/>
          <w:szCs w:val="36"/>
        </w:rPr>
        <w:t>二、部门预算单位构成</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b/>
          <w:bCs/>
          <w:color w:val="333333"/>
          <w:sz w:val="36"/>
          <w:szCs w:val="36"/>
        </w:rPr>
      </w:pPr>
      <w:r>
        <w:rPr>
          <w:rFonts w:hint="eastAsia" w:cs="微软雅黑"/>
          <w:b/>
          <w:bCs/>
          <w:color w:val="333333"/>
          <w:sz w:val="36"/>
          <w:szCs w:val="36"/>
        </w:rPr>
        <w:t>三、部门收支总体情况</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（一）收入预算</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（二）支出预算</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b/>
          <w:bCs/>
          <w:color w:val="333333"/>
          <w:sz w:val="36"/>
          <w:szCs w:val="36"/>
        </w:rPr>
      </w:pPr>
      <w:r>
        <w:rPr>
          <w:rFonts w:hint="eastAsia" w:cs="微软雅黑"/>
          <w:b/>
          <w:bCs/>
          <w:color w:val="333333"/>
          <w:sz w:val="36"/>
          <w:szCs w:val="36"/>
        </w:rPr>
        <w:t>四、一般公共预算拨款支出</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（一）基本支出</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（二）项目支出</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b/>
          <w:bCs/>
          <w:color w:val="333333"/>
          <w:sz w:val="36"/>
          <w:szCs w:val="36"/>
        </w:rPr>
      </w:pPr>
      <w:r>
        <w:rPr>
          <w:rFonts w:hint="eastAsia" w:cs="微软雅黑"/>
          <w:b/>
          <w:bCs/>
          <w:color w:val="333333"/>
          <w:sz w:val="36"/>
          <w:szCs w:val="36"/>
        </w:rPr>
        <w:t>五、政府性基金预算支出</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b/>
          <w:bCs/>
          <w:color w:val="333333"/>
          <w:sz w:val="36"/>
          <w:szCs w:val="36"/>
        </w:rPr>
      </w:pPr>
      <w:r>
        <w:rPr>
          <w:rFonts w:hint="eastAsia" w:cs="微软雅黑"/>
          <w:b/>
          <w:bCs/>
          <w:color w:val="333333"/>
          <w:sz w:val="36"/>
          <w:szCs w:val="36"/>
        </w:rPr>
        <w:t>六、其他重要事项的情况说明</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（一）机关运行经费</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（二）“三公”经费预算</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（三）一般性支出情况</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（四）政府采购情况</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（五）国有资产占用使用及新增资产配置情况</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（六）预算绩效目标说明</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b/>
          <w:bCs/>
          <w:color w:val="333333"/>
          <w:sz w:val="36"/>
          <w:szCs w:val="36"/>
        </w:rPr>
      </w:pPr>
      <w:r>
        <w:rPr>
          <w:rFonts w:hint="eastAsia" w:cs="微软雅黑"/>
          <w:b/>
          <w:bCs/>
          <w:color w:val="333333"/>
          <w:sz w:val="36"/>
          <w:szCs w:val="36"/>
        </w:rPr>
        <w:t>七、名词解释</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b/>
          <w:bCs/>
          <w:color w:val="333333"/>
          <w:sz w:val="36"/>
          <w:szCs w:val="36"/>
        </w:rPr>
      </w:pPr>
      <w:r>
        <w:rPr>
          <w:rFonts w:hint="eastAsia" w:cs="微软雅黑"/>
          <w:b/>
          <w:bCs/>
          <w:color w:val="333333"/>
          <w:sz w:val="36"/>
          <w:szCs w:val="36"/>
        </w:rPr>
        <w:t>第二部分</w:t>
      </w:r>
      <w:r>
        <w:rPr>
          <w:rFonts w:hint="eastAsia" w:cs="微软雅黑"/>
          <w:b/>
          <w:bCs/>
          <w:color w:val="333333"/>
          <w:sz w:val="36"/>
          <w:szCs w:val="36"/>
          <w:lang w:val="en-US" w:eastAsia="zh-CN"/>
        </w:rPr>
        <w:t xml:space="preserve"> </w:t>
      </w:r>
      <w:r>
        <w:rPr>
          <w:rFonts w:hint="eastAsia" w:cs="微软雅黑"/>
          <w:b/>
          <w:bCs/>
          <w:color w:val="333333"/>
          <w:sz w:val="36"/>
          <w:szCs w:val="36"/>
        </w:rPr>
        <w:t xml:space="preserve"> 2022年部门预算表</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b/>
          <w:bCs/>
          <w:color w:val="333333"/>
          <w:sz w:val="36"/>
          <w:szCs w:val="36"/>
        </w:rPr>
      </w:pPr>
      <w:r>
        <w:rPr>
          <w:rFonts w:hint="eastAsia" w:cs="微软雅黑"/>
          <w:b/>
          <w:bCs/>
          <w:color w:val="333333"/>
          <w:sz w:val="36"/>
          <w:szCs w:val="36"/>
        </w:rPr>
        <w:t>一、部门预算报表</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1、收支总表</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2、收入总表</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3、一般公共预算拨款收入表</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4、支出总表</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5、支出预算分类汇总表（按政府预算经济分类）</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6、支出预算分类汇总表（按部门预算经济分类）</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7、基本支出表</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8、项目支出表</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9、项目支出预算明细表（按政府预算经济分类）A</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10、项目支出预算明细表（按政府预算经济分类）B</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11、项目支出预算明细表（按政府预算经济分类）C</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12、项目支出预算明细表（按部门预算经济分类）A</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13、项目支出预算明细表（按部门预算经济分类）B</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14、项目支出预算明细表（按部门预算经济分类）C</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15、项目支出预算明细表（按部门预算经济分类）D</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16、财政拨款收支总表</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17、一般公共预算支出表</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18.一般公共预算基本支出表</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19、一般公共预算基本支出表--人员经费(工资福利支出)(按政府预算经济分类)</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20、一般公共预算基本支出表--人员经费(工资福利支出)(按部门预算经济分类)</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21、一般公共预算基本支出表--人员经费(对个人和家庭的补助)(按政府预算经济分类)</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22、一般公共预算基本支出表--人员经费(对个人和家庭的补助)（按部门预算经济分类）</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23、一般公共预算基本支出表--公用经费(商品和服务支出)（按政府预算经济分类）</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24、一般公共预算基本支出表--公用经费(商品和服务支出)(按部门预算经济分类)</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25、一般公共预算“三公”经费支出表</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26、政府性基金预算支出表</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27、政府性基金预算支出分类汇总表（按政府预算经济分类）</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28、政府性基金预算支出分类汇总表（按政府预算经济分类）政府性基金（部门预算）</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29、国有资本经营预算表</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30、财政专户管理资金预算支出表</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31、单位资金支出预算表</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32、专项资金预算汇总表</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33、单位新增资产汇总表</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34、政府采购预算表</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b/>
          <w:bCs/>
          <w:color w:val="333333"/>
          <w:sz w:val="36"/>
          <w:szCs w:val="36"/>
        </w:rPr>
      </w:pPr>
      <w:r>
        <w:rPr>
          <w:rFonts w:hint="eastAsia" w:cs="微软雅黑"/>
          <w:b/>
          <w:bCs/>
          <w:color w:val="333333"/>
          <w:sz w:val="36"/>
          <w:szCs w:val="36"/>
        </w:rPr>
        <w:t>二、附表</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1、政府购买服务支出预算表</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2、单位资产及设备情况表</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3、单位人员信息情况表</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4、项目支出绩效目标表</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5、部门整体支出绩效目标表</w:t>
      </w:r>
    </w:p>
    <w:p>
      <w:pPr>
        <w:pStyle w:val="7"/>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720" w:lineRule="exact"/>
        <w:jc w:val="both"/>
        <w:textAlignment w:val="auto"/>
        <w:rPr>
          <w:rFonts w:cs="微软雅黑"/>
          <w:color w:val="333333"/>
          <w:sz w:val="36"/>
          <w:szCs w:val="36"/>
        </w:rPr>
      </w:pPr>
      <w:r>
        <w:rPr>
          <w:rFonts w:hint="eastAsia" w:cs="微软雅黑"/>
          <w:color w:val="333333"/>
          <w:sz w:val="36"/>
          <w:szCs w:val="36"/>
        </w:rPr>
        <w:t>注：以上部门预算报表中，空表表示本部门无相关收支情况。</w:t>
      </w:r>
    </w:p>
    <w:p>
      <w:pPr>
        <w:keepNext w:val="0"/>
        <w:keepLines w:val="0"/>
        <w:pageBreakBefore w:val="0"/>
        <w:widowControl/>
        <w:kinsoku/>
        <w:wordWrap/>
        <w:overflowPunct/>
        <w:topLinePunct w:val="0"/>
        <w:autoSpaceDE/>
        <w:autoSpaceDN/>
        <w:bidi w:val="0"/>
        <w:snapToGrid/>
        <w:spacing w:line="720" w:lineRule="exact"/>
        <w:textAlignment w:val="auto"/>
        <w:rPr>
          <w:rFonts w:ascii="Arial" w:hAnsi="Arial" w:eastAsia="微软雅黑" w:cs="Arial"/>
          <w:color w:val="333333"/>
          <w:kern w:val="0"/>
          <w:sz w:val="36"/>
          <w:szCs w:val="36"/>
          <w:shd w:val="clear" w:color="auto" w:fill="FFFFFF"/>
        </w:rPr>
      </w:pPr>
      <w:r>
        <w:rPr>
          <w:rFonts w:ascii="Arial" w:hAnsi="Arial" w:eastAsia="微软雅黑" w:cs="Arial"/>
          <w:color w:val="333333"/>
          <w:sz w:val="36"/>
          <w:szCs w:val="36"/>
          <w:shd w:val="clear" w:color="auto" w:fill="FFFFFF"/>
        </w:rPr>
        <w:br w:type="page"/>
      </w:r>
      <w:bookmarkStart w:id="0" w:name="_GoBack"/>
      <w:bookmarkEnd w:id="0"/>
    </w:p>
    <w:p>
      <w:pPr>
        <w:keepNext w:val="0"/>
        <w:keepLines w:val="0"/>
        <w:pageBreakBefore w:val="0"/>
        <w:widowControl/>
        <w:kinsoku/>
        <w:wordWrap/>
        <w:overflowPunct/>
        <w:topLinePunct w:val="0"/>
        <w:autoSpaceDE/>
        <w:autoSpaceDN/>
        <w:bidi w:val="0"/>
        <w:adjustRightInd/>
        <w:snapToGrid/>
        <w:spacing w:line="720" w:lineRule="exact"/>
        <w:ind w:firstLine="723" w:firstLineChars="200"/>
        <w:textAlignment w:val="auto"/>
        <w:rPr>
          <w:rFonts w:ascii="宋体" w:hAnsi="宋体" w:cs="宋体"/>
          <w:b/>
          <w:kern w:val="0"/>
          <w:sz w:val="36"/>
          <w:szCs w:val="36"/>
        </w:rPr>
      </w:pPr>
      <w:r>
        <w:rPr>
          <w:rFonts w:hint="eastAsia" w:ascii="宋体" w:hAnsi="宋体" w:cs="宋体"/>
          <w:b/>
          <w:kern w:val="0"/>
          <w:sz w:val="36"/>
          <w:szCs w:val="36"/>
        </w:rPr>
        <w:t>第一部分 2022年部门预算说明</w:t>
      </w:r>
    </w:p>
    <w:p>
      <w:pPr>
        <w:keepNext w:val="0"/>
        <w:keepLines w:val="0"/>
        <w:pageBreakBefore w:val="0"/>
        <w:widowControl/>
        <w:kinsoku/>
        <w:wordWrap/>
        <w:overflowPunct/>
        <w:topLinePunct w:val="0"/>
        <w:autoSpaceDE/>
        <w:autoSpaceDN/>
        <w:bidi w:val="0"/>
        <w:adjustRightInd/>
        <w:snapToGrid/>
        <w:spacing w:line="720" w:lineRule="exact"/>
        <w:ind w:firstLine="723" w:firstLineChars="200"/>
        <w:jc w:val="left"/>
        <w:textAlignment w:val="auto"/>
        <w:rPr>
          <w:rFonts w:ascii="宋体" w:hAnsi="宋体" w:cs="宋体"/>
          <w:b/>
          <w:kern w:val="0"/>
          <w:sz w:val="36"/>
          <w:szCs w:val="36"/>
        </w:rPr>
      </w:pPr>
      <w:r>
        <w:rPr>
          <w:rFonts w:hint="eastAsia" w:ascii="宋体" w:hAnsi="宋体" w:cs="宋体"/>
          <w:b/>
          <w:kern w:val="0"/>
          <w:sz w:val="36"/>
          <w:szCs w:val="36"/>
        </w:rPr>
        <w:t>一、部门基本概况</w:t>
      </w:r>
    </w:p>
    <w:p>
      <w:pPr>
        <w:keepNext w:val="0"/>
        <w:keepLines w:val="0"/>
        <w:pageBreakBefore w:val="0"/>
        <w:widowControl/>
        <w:kinsoku/>
        <w:wordWrap/>
        <w:overflowPunct/>
        <w:topLinePunct w:val="0"/>
        <w:autoSpaceDE/>
        <w:autoSpaceDN/>
        <w:bidi w:val="0"/>
        <w:adjustRightInd/>
        <w:snapToGrid/>
        <w:spacing w:line="720" w:lineRule="exact"/>
        <w:ind w:firstLine="723" w:firstLineChars="200"/>
        <w:jc w:val="left"/>
        <w:textAlignment w:val="auto"/>
        <w:rPr>
          <w:rFonts w:ascii="宋体" w:hAnsi="宋体" w:cs="宋体"/>
          <w:b/>
          <w:sz w:val="36"/>
          <w:szCs w:val="36"/>
        </w:rPr>
      </w:pPr>
      <w:r>
        <w:rPr>
          <w:rFonts w:hint="eastAsia" w:ascii="宋体" w:hAnsi="宋体" w:cs="宋体"/>
          <w:b/>
          <w:sz w:val="36"/>
          <w:szCs w:val="36"/>
        </w:rPr>
        <w:t>（一）职能职责</w:t>
      </w:r>
    </w:p>
    <w:p>
      <w:pPr>
        <w:keepNext w:val="0"/>
        <w:keepLines w:val="0"/>
        <w:pageBreakBefore w:val="0"/>
        <w:widowControl/>
        <w:kinsoku/>
        <w:wordWrap/>
        <w:overflowPunct/>
        <w:topLinePunct w:val="0"/>
        <w:autoSpaceDE/>
        <w:autoSpaceDN/>
        <w:bidi w:val="0"/>
        <w:adjustRightInd/>
        <w:snapToGrid/>
        <w:spacing w:line="720" w:lineRule="exact"/>
        <w:ind w:firstLine="720" w:firstLineChars="200"/>
        <w:jc w:val="left"/>
        <w:textAlignment w:val="auto"/>
        <w:rPr>
          <w:rFonts w:ascii="宋体" w:hAnsi="宋体" w:cs="宋体"/>
          <w:b/>
          <w:sz w:val="36"/>
          <w:szCs w:val="36"/>
        </w:rPr>
      </w:pPr>
      <w:r>
        <w:rPr>
          <w:rFonts w:hint="eastAsia" w:ascii="宋体" w:hAnsi="宋体" w:cs="宋体"/>
          <w:bCs/>
          <w:sz w:val="36"/>
          <w:szCs w:val="36"/>
        </w:rPr>
        <w:t>桃源县农村经营服务站主要负责全县农民权益维护和负担监督管理、农村承包地管理及纠纷调解仲裁、新型农村经营主体培育、农村土地“三权分置”改革、农村集体产权制度改革、村级集体经济发展、村级财务审计、农村宅基地管理与改革、农村产权交易等工作。</w:t>
      </w:r>
    </w:p>
    <w:p>
      <w:pPr>
        <w:keepNext w:val="0"/>
        <w:keepLines w:val="0"/>
        <w:pageBreakBefore w:val="0"/>
        <w:widowControl/>
        <w:kinsoku/>
        <w:wordWrap/>
        <w:overflowPunct/>
        <w:topLinePunct w:val="0"/>
        <w:autoSpaceDE/>
        <w:autoSpaceDN/>
        <w:bidi w:val="0"/>
        <w:adjustRightInd/>
        <w:snapToGrid/>
        <w:spacing w:line="720" w:lineRule="exact"/>
        <w:ind w:firstLine="723" w:firstLineChars="200"/>
        <w:jc w:val="left"/>
        <w:textAlignment w:val="auto"/>
        <w:rPr>
          <w:rFonts w:ascii="宋体" w:hAnsi="宋体" w:cs="宋体"/>
          <w:b/>
          <w:sz w:val="36"/>
          <w:szCs w:val="36"/>
        </w:rPr>
      </w:pPr>
      <w:r>
        <w:rPr>
          <w:rFonts w:hint="eastAsia" w:ascii="宋体" w:hAnsi="宋体" w:cs="宋体"/>
          <w:b/>
          <w:sz w:val="36"/>
          <w:szCs w:val="36"/>
        </w:rPr>
        <w:t>（二）机构设置</w:t>
      </w:r>
    </w:p>
    <w:p>
      <w:pPr>
        <w:keepNext w:val="0"/>
        <w:keepLines w:val="0"/>
        <w:pageBreakBefore w:val="0"/>
        <w:widowControl/>
        <w:kinsoku/>
        <w:wordWrap/>
        <w:overflowPunct/>
        <w:topLinePunct w:val="0"/>
        <w:autoSpaceDE/>
        <w:autoSpaceDN/>
        <w:bidi w:val="0"/>
        <w:adjustRightInd/>
        <w:snapToGrid/>
        <w:spacing w:line="720" w:lineRule="exact"/>
        <w:ind w:firstLine="720" w:firstLineChars="200"/>
        <w:jc w:val="left"/>
        <w:textAlignment w:val="auto"/>
        <w:rPr>
          <w:rFonts w:ascii="宋体" w:hAnsi="宋体" w:cs="宋体"/>
          <w:b/>
          <w:sz w:val="36"/>
          <w:szCs w:val="36"/>
        </w:rPr>
      </w:pPr>
      <w:r>
        <w:rPr>
          <w:rFonts w:hint="eastAsia" w:ascii="宋体" w:hAnsi="宋体" w:cs="宋体"/>
          <w:sz w:val="36"/>
          <w:szCs w:val="36"/>
        </w:rPr>
        <w:t>根据县编委会核定，桃源县农村经营服务站内设部室8个，全部纳入2022年部门预算编制范围。无所属事业单位。内设部室分别是：办公室、计划财务部、农民权益维权服务部、新型经营主体培育部、村级财务指导部、农村土地承包服务部、农村宅基地改革指导部、农村产权交易服务部。县农村经营服务站核定事业编制19名，其中：站长1名，副站长3名，纪检员1名；内设机构正股级职数8名，副股级职数1名，其他工作人员5名。目前我单位在编在岗人员18名。退休干部9人、企业退休再就业援助人员1人，遗属1人。</w:t>
      </w:r>
    </w:p>
    <w:p>
      <w:pPr>
        <w:keepNext w:val="0"/>
        <w:keepLines w:val="0"/>
        <w:pageBreakBefore w:val="0"/>
        <w:widowControl/>
        <w:kinsoku/>
        <w:wordWrap/>
        <w:overflowPunct/>
        <w:topLinePunct w:val="0"/>
        <w:autoSpaceDE/>
        <w:autoSpaceDN/>
        <w:bidi w:val="0"/>
        <w:adjustRightInd/>
        <w:snapToGrid/>
        <w:spacing w:line="720" w:lineRule="exact"/>
        <w:ind w:firstLine="723" w:firstLineChars="200"/>
        <w:jc w:val="left"/>
        <w:textAlignment w:val="auto"/>
        <w:rPr>
          <w:rFonts w:ascii="宋体" w:hAnsi="宋体" w:cs="宋体"/>
          <w:b/>
          <w:bCs/>
          <w:kern w:val="0"/>
          <w:sz w:val="36"/>
          <w:szCs w:val="36"/>
        </w:rPr>
      </w:pPr>
      <w:r>
        <w:rPr>
          <w:rFonts w:hint="eastAsia" w:ascii="宋体" w:hAnsi="宋体" w:cs="宋体"/>
          <w:b/>
          <w:bCs/>
          <w:kern w:val="0"/>
          <w:sz w:val="36"/>
          <w:szCs w:val="36"/>
        </w:rPr>
        <w:t>二、部门预算单位构成</w:t>
      </w:r>
    </w:p>
    <w:p>
      <w:pPr>
        <w:keepNext w:val="0"/>
        <w:keepLines w:val="0"/>
        <w:pageBreakBefore w:val="0"/>
        <w:widowControl/>
        <w:kinsoku/>
        <w:wordWrap/>
        <w:overflowPunct/>
        <w:topLinePunct w:val="0"/>
        <w:autoSpaceDE/>
        <w:autoSpaceDN/>
        <w:bidi w:val="0"/>
        <w:adjustRightInd/>
        <w:snapToGrid/>
        <w:spacing w:line="720" w:lineRule="exact"/>
        <w:ind w:firstLine="720" w:firstLineChars="200"/>
        <w:textAlignment w:val="auto"/>
        <w:rPr>
          <w:rFonts w:ascii="宋体" w:hAnsi="宋体" w:cs="宋体"/>
          <w:sz w:val="36"/>
          <w:szCs w:val="36"/>
        </w:rPr>
      </w:pPr>
      <w:r>
        <w:rPr>
          <w:rFonts w:hint="eastAsia" w:ascii="宋体" w:hAnsi="宋体" w:cs="宋体"/>
          <w:sz w:val="36"/>
          <w:szCs w:val="36"/>
        </w:rPr>
        <w:t>本部门只有本级，没有其他预算单位，因此本部门预算仅含本级预算。</w:t>
      </w:r>
    </w:p>
    <w:p>
      <w:pPr>
        <w:keepNext w:val="0"/>
        <w:keepLines w:val="0"/>
        <w:pageBreakBefore w:val="0"/>
        <w:widowControl/>
        <w:kinsoku/>
        <w:wordWrap/>
        <w:overflowPunct/>
        <w:topLinePunct w:val="0"/>
        <w:autoSpaceDE/>
        <w:autoSpaceDN/>
        <w:bidi w:val="0"/>
        <w:adjustRightInd/>
        <w:snapToGrid/>
        <w:spacing w:line="720" w:lineRule="exact"/>
        <w:ind w:firstLine="723" w:firstLineChars="200"/>
        <w:jc w:val="left"/>
        <w:textAlignment w:val="auto"/>
        <w:rPr>
          <w:rFonts w:ascii="宋体" w:hAnsi="宋体" w:cs="宋体"/>
          <w:bCs/>
          <w:kern w:val="0"/>
          <w:sz w:val="36"/>
          <w:szCs w:val="36"/>
        </w:rPr>
      </w:pPr>
      <w:r>
        <w:rPr>
          <w:rFonts w:hint="eastAsia" w:ascii="宋体" w:hAnsi="宋体" w:cs="宋体"/>
          <w:b/>
          <w:kern w:val="0"/>
          <w:sz w:val="36"/>
          <w:szCs w:val="36"/>
        </w:rPr>
        <w:t>三、部门收支总体情况</w:t>
      </w:r>
    </w:p>
    <w:p>
      <w:pPr>
        <w:keepNext w:val="0"/>
        <w:keepLines w:val="0"/>
        <w:pageBreakBefore w:val="0"/>
        <w:widowControl/>
        <w:kinsoku/>
        <w:wordWrap/>
        <w:overflowPunct/>
        <w:topLinePunct w:val="0"/>
        <w:autoSpaceDE/>
        <w:autoSpaceDN/>
        <w:bidi w:val="0"/>
        <w:adjustRightInd/>
        <w:snapToGrid/>
        <w:spacing w:line="720" w:lineRule="exact"/>
        <w:ind w:firstLine="723" w:firstLineChars="200"/>
        <w:textAlignment w:val="auto"/>
        <w:rPr>
          <w:rFonts w:ascii="宋体" w:hAnsi="宋体" w:cs="宋体"/>
          <w:bCs/>
          <w:sz w:val="36"/>
          <w:szCs w:val="36"/>
        </w:rPr>
      </w:pPr>
      <w:r>
        <w:rPr>
          <w:rFonts w:hint="eastAsia" w:ascii="宋体" w:hAnsi="宋体" w:cs="宋体"/>
          <w:b/>
          <w:sz w:val="36"/>
          <w:szCs w:val="36"/>
        </w:rPr>
        <w:t>（一）收入预算：</w:t>
      </w:r>
      <w:r>
        <w:rPr>
          <w:rFonts w:hint="eastAsia" w:ascii="宋体" w:hAnsi="宋体" w:cs="宋体"/>
          <w:sz w:val="36"/>
          <w:szCs w:val="36"/>
        </w:rPr>
        <w:t>包括一般公共预算、政府性基金、国有资本经营预算等财政拨款收入，以及经营收入、事业收入等单位资金。2022年本部门收入预算总计328.12万元，其中，一般公共预算拨款281.54万元，政府性基金预算拨款0万元，国有资本经营预算拨款0万元，纳入专户管理的非税收入0万元，上年结转结余46.58万元。</w:t>
      </w:r>
      <w:r>
        <w:rPr>
          <w:rFonts w:hint="eastAsia" w:ascii="宋体" w:hAnsi="宋体" w:cs="宋体"/>
          <w:bCs/>
          <w:sz w:val="36"/>
          <w:szCs w:val="36"/>
        </w:rPr>
        <w:t>收入较去年增加44.92万元，主要原因是上年结转结余。</w:t>
      </w:r>
    </w:p>
    <w:p>
      <w:pPr>
        <w:keepNext w:val="0"/>
        <w:keepLines w:val="0"/>
        <w:pageBreakBefore w:val="0"/>
        <w:widowControl/>
        <w:kinsoku/>
        <w:wordWrap/>
        <w:overflowPunct/>
        <w:topLinePunct w:val="0"/>
        <w:autoSpaceDE/>
        <w:autoSpaceDN/>
        <w:bidi w:val="0"/>
        <w:adjustRightInd/>
        <w:snapToGrid/>
        <w:spacing w:line="720" w:lineRule="exact"/>
        <w:ind w:firstLine="723" w:firstLineChars="200"/>
        <w:jc w:val="left"/>
        <w:textAlignment w:val="auto"/>
        <w:rPr>
          <w:rFonts w:ascii="宋体" w:hAnsi="宋体" w:cs="宋体"/>
          <w:bCs/>
          <w:sz w:val="36"/>
          <w:szCs w:val="36"/>
        </w:rPr>
      </w:pPr>
      <w:r>
        <w:rPr>
          <w:rFonts w:hint="eastAsia" w:ascii="宋体" w:hAnsi="宋体" w:cs="宋体"/>
          <w:b/>
          <w:sz w:val="36"/>
          <w:szCs w:val="36"/>
        </w:rPr>
        <w:t>（二）支出预算：</w:t>
      </w:r>
      <w:r>
        <w:rPr>
          <w:rFonts w:hint="eastAsia" w:ascii="宋体" w:hAnsi="宋体" w:cs="宋体"/>
          <w:sz w:val="36"/>
          <w:szCs w:val="36"/>
        </w:rPr>
        <w:t>2022年本部门支出预算总计328.12万元，其中，社会保障和就业支出17.13万元，卫生健康支出7.49万元，农林水支出286.77万元，住房保障支出16.73万元。</w:t>
      </w:r>
      <w:r>
        <w:rPr>
          <w:rFonts w:hint="eastAsia" w:ascii="宋体" w:hAnsi="宋体" w:cs="宋体"/>
          <w:bCs/>
          <w:sz w:val="36"/>
          <w:szCs w:val="36"/>
        </w:rPr>
        <w:t>支出较去年增加44.92万元，主要原因是社会保障和就业支出、卫生健康支出、住房保障支出等较去年有所增加。</w:t>
      </w:r>
    </w:p>
    <w:p>
      <w:pPr>
        <w:keepNext w:val="0"/>
        <w:keepLines w:val="0"/>
        <w:pageBreakBefore w:val="0"/>
        <w:widowControl/>
        <w:kinsoku/>
        <w:wordWrap/>
        <w:overflowPunct/>
        <w:topLinePunct w:val="0"/>
        <w:autoSpaceDE/>
        <w:autoSpaceDN/>
        <w:bidi w:val="0"/>
        <w:adjustRightInd/>
        <w:snapToGrid/>
        <w:spacing w:line="720" w:lineRule="exact"/>
        <w:ind w:firstLine="723" w:firstLineChars="200"/>
        <w:jc w:val="left"/>
        <w:textAlignment w:val="auto"/>
        <w:rPr>
          <w:rFonts w:ascii="宋体" w:hAnsi="宋体" w:cs="宋体"/>
          <w:b/>
          <w:bCs/>
          <w:sz w:val="36"/>
          <w:szCs w:val="36"/>
        </w:rPr>
      </w:pPr>
      <w:r>
        <w:rPr>
          <w:rFonts w:hint="eastAsia" w:ascii="宋体" w:hAnsi="宋体" w:cs="宋体"/>
          <w:b/>
          <w:bCs/>
          <w:sz w:val="36"/>
          <w:szCs w:val="36"/>
        </w:rPr>
        <w:t>四、一般公共预算拨款支出</w:t>
      </w:r>
    </w:p>
    <w:p>
      <w:pPr>
        <w:keepNext w:val="0"/>
        <w:keepLines w:val="0"/>
        <w:pageBreakBefore w:val="0"/>
        <w:widowControl/>
        <w:kinsoku/>
        <w:wordWrap/>
        <w:overflowPunct/>
        <w:topLinePunct w:val="0"/>
        <w:autoSpaceDE/>
        <w:autoSpaceDN/>
        <w:bidi w:val="0"/>
        <w:adjustRightInd/>
        <w:snapToGrid/>
        <w:spacing w:line="720" w:lineRule="exact"/>
        <w:ind w:firstLine="720" w:firstLineChars="200"/>
        <w:jc w:val="left"/>
        <w:textAlignment w:val="auto"/>
        <w:rPr>
          <w:rFonts w:ascii="宋体" w:hAnsi="宋体" w:cs="宋体"/>
          <w:sz w:val="36"/>
          <w:szCs w:val="36"/>
        </w:rPr>
      </w:pPr>
      <w:r>
        <w:rPr>
          <w:rFonts w:hint="eastAsia" w:ascii="宋体" w:hAnsi="宋体" w:cs="宋体"/>
          <w:sz w:val="36"/>
          <w:szCs w:val="36"/>
        </w:rPr>
        <w:t>2022年本部门一般公共预算拨款支出预算328.12万元，其中，社会保障和就业支出17.13万元，占5.22%；卫生健康支出7.49万元，占2.28%；农林水支出286.77万元，占87.40%；住房保障支出16.73万元，占5.10%。具体安排情况如下：</w:t>
      </w:r>
    </w:p>
    <w:p>
      <w:pPr>
        <w:keepNext w:val="0"/>
        <w:keepLines w:val="0"/>
        <w:pageBreakBefore w:val="0"/>
        <w:widowControl/>
        <w:kinsoku/>
        <w:wordWrap/>
        <w:overflowPunct/>
        <w:topLinePunct w:val="0"/>
        <w:autoSpaceDE/>
        <w:autoSpaceDN/>
        <w:bidi w:val="0"/>
        <w:adjustRightInd/>
        <w:snapToGrid/>
        <w:spacing w:line="720" w:lineRule="exact"/>
        <w:ind w:firstLine="723" w:firstLineChars="200"/>
        <w:jc w:val="left"/>
        <w:textAlignment w:val="auto"/>
        <w:rPr>
          <w:rFonts w:ascii="宋体" w:hAnsi="宋体" w:cs="宋体"/>
          <w:sz w:val="36"/>
          <w:szCs w:val="36"/>
        </w:rPr>
      </w:pPr>
      <w:r>
        <w:rPr>
          <w:rFonts w:hint="eastAsia" w:ascii="宋体" w:hAnsi="宋体" w:cs="宋体"/>
          <w:b/>
          <w:sz w:val="36"/>
          <w:szCs w:val="36"/>
        </w:rPr>
        <w:t>（一）基本支出：</w:t>
      </w:r>
      <w:r>
        <w:rPr>
          <w:rFonts w:hint="eastAsia" w:ascii="宋体" w:hAnsi="宋体" w:cs="宋体"/>
          <w:sz w:val="36"/>
          <w:szCs w:val="36"/>
        </w:rPr>
        <w:t>2022年本部门基本支出预算数233.54万元，主要是为保障部门正常运转、完成日常工作任务而发生的各项支出，包括用于基本工资、津贴补贴等人员经费以及办公费、印刷费、水电费、办公设备购置等公用经费。其中：工资福利支出195.11万元，主要用于在职人员的基本工资、绩效工资发放，国家法定节假日对离退休干部发放节日慰问品、对去世的离退休干部吊唁等支出；对个人和家庭的补助支出0.83万元，主要用于对符合条件的遗属发放遗属生活困难补助。</w:t>
      </w:r>
    </w:p>
    <w:p>
      <w:pPr>
        <w:keepNext w:val="0"/>
        <w:keepLines w:val="0"/>
        <w:pageBreakBefore w:val="0"/>
        <w:widowControl/>
        <w:kinsoku/>
        <w:wordWrap/>
        <w:overflowPunct/>
        <w:topLinePunct w:val="0"/>
        <w:autoSpaceDE/>
        <w:autoSpaceDN/>
        <w:bidi w:val="0"/>
        <w:adjustRightInd/>
        <w:snapToGrid/>
        <w:spacing w:line="720" w:lineRule="exact"/>
        <w:ind w:firstLine="723" w:firstLineChars="200"/>
        <w:jc w:val="left"/>
        <w:textAlignment w:val="auto"/>
        <w:rPr>
          <w:rFonts w:ascii="宋体" w:hAnsi="宋体" w:cs="宋体"/>
          <w:sz w:val="36"/>
          <w:szCs w:val="36"/>
        </w:rPr>
      </w:pPr>
      <w:r>
        <w:rPr>
          <w:rFonts w:hint="eastAsia" w:ascii="宋体" w:hAnsi="宋体" w:cs="宋体"/>
          <w:b/>
          <w:sz w:val="36"/>
          <w:szCs w:val="36"/>
        </w:rPr>
        <w:t>（二）项目支出：</w:t>
      </w:r>
      <w:r>
        <w:rPr>
          <w:rFonts w:hint="eastAsia" w:ascii="宋体" w:hAnsi="宋体" w:cs="宋体"/>
          <w:sz w:val="36"/>
          <w:szCs w:val="36"/>
        </w:rPr>
        <w:t>2022年本部门项目支出预算94.58万元，主要是部门为完成特定行政工作任务或事业发展目标而发生的支出，包括有关事业发展专项、专项业务费、基本建设支出等，其中：农村土地承包经营纠纷仲裁工作支出8万元，主要用于农村土地承包经营纠纷调解及仲裁工作等方面；农村宅基地审批管理及纠纷调处工作支出20万元，主要用于农村村民建房管理改革和现场执法等方面；农民权益维护和负担监督管理工作支出20.74万元，主要用于农民权益维护和负担监督管理等方面；土地确权专项资金支出45.84万元，主要用于农村土地承包经营确权、登记、颁证、相关档案整理等方面。</w:t>
      </w:r>
    </w:p>
    <w:p>
      <w:pPr>
        <w:keepNext w:val="0"/>
        <w:keepLines w:val="0"/>
        <w:pageBreakBefore w:val="0"/>
        <w:widowControl/>
        <w:kinsoku/>
        <w:wordWrap/>
        <w:overflowPunct/>
        <w:topLinePunct w:val="0"/>
        <w:autoSpaceDE/>
        <w:autoSpaceDN/>
        <w:bidi w:val="0"/>
        <w:adjustRightInd/>
        <w:snapToGrid/>
        <w:spacing w:line="720" w:lineRule="exact"/>
        <w:ind w:firstLine="723" w:firstLineChars="200"/>
        <w:jc w:val="left"/>
        <w:textAlignment w:val="auto"/>
        <w:rPr>
          <w:rFonts w:ascii="宋体" w:hAnsi="宋体" w:cs="宋体"/>
          <w:sz w:val="36"/>
          <w:szCs w:val="36"/>
        </w:rPr>
      </w:pPr>
      <w:r>
        <w:rPr>
          <w:rFonts w:hint="eastAsia" w:ascii="宋体" w:hAnsi="宋体" w:cs="宋体"/>
          <w:b/>
          <w:bCs/>
          <w:sz w:val="36"/>
          <w:szCs w:val="36"/>
        </w:rPr>
        <w:t>五、政府性基金预算支出</w:t>
      </w:r>
    </w:p>
    <w:p>
      <w:pPr>
        <w:keepNext w:val="0"/>
        <w:keepLines w:val="0"/>
        <w:pageBreakBefore w:val="0"/>
        <w:widowControl/>
        <w:kinsoku/>
        <w:wordWrap/>
        <w:overflowPunct/>
        <w:topLinePunct w:val="0"/>
        <w:autoSpaceDE/>
        <w:autoSpaceDN/>
        <w:bidi w:val="0"/>
        <w:adjustRightInd/>
        <w:snapToGrid/>
        <w:spacing w:line="720" w:lineRule="exact"/>
        <w:ind w:firstLine="720" w:firstLineChars="200"/>
        <w:jc w:val="left"/>
        <w:textAlignment w:val="auto"/>
        <w:rPr>
          <w:rFonts w:ascii="宋体" w:hAnsi="宋体" w:cs="宋体"/>
          <w:sz w:val="36"/>
          <w:szCs w:val="36"/>
        </w:rPr>
      </w:pPr>
      <w:r>
        <w:rPr>
          <w:rFonts w:hint="eastAsia" w:ascii="宋体" w:hAnsi="宋体" w:cs="宋体"/>
          <w:sz w:val="36"/>
          <w:szCs w:val="36"/>
        </w:rPr>
        <w:t>2022年本部门无政府性基金安排的支出</w:t>
      </w:r>
    </w:p>
    <w:p>
      <w:pPr>
        <w:keepNext w:val="0"/>
        <w:keepLines w:val="0"/>
        <w:pageBreakBefore w:val="0"/>
        <w:widowControl/>
        <w:kinsoku/>
        <w:wordWrap/>
        <w:overflowPunct/>
        <w:topLinePunct w:val="0"/>
        <w:autoSpaceDE/>
        <w:autoSpaceDN/>
        <w:bidi w:val="0"/>
        <w:adjustRightInd/>
        <w:snapToGrid/>
        <w:spacing w:line="720" w:lineRule="exact"/>
        <w:ind w:firstLine="723" w:firstLineChars="200"/>
        <w:jc w:val="left"/>
        <w:textAlignment w:val="auto"/>
        <w:rPr>
          <w:rFonts w:ascii="宋体" w:hAnsi="宋体" w:cs="宋体"/>
          <w:sz w:val="36"/>
          <w:szCs w:val="36"/>
        </w:rPr>
      </w:pPr>
      <w:r>
        <w:rPr>
          <w:rFonts w:hint="eastAsia" w:ascii="宋体" w:hAnsi="宋体" w:cs="宋体"/>
          <w:b/>
          <w:bCs/>
          <w:sz w:val="36"/>
          <w:szCs w:val="36"/>
        </w:rPr>
        <w:t>六、其他重要事项的情况说明</w:t>
      </w:r>
    </w:p>
    <w:p>
      <w:pPr>
        <w:keepNext w:val="0"/>
        <w:keepLines w:val="0"/>
        <w:pageBreakBefore w:val="0"/>
        <w:widowControl/>
        <w:kinsoku/>
        <w:wordWrap/>
        <w:overflowPunct/>
        <w:topLinePunct w:val="0"/>
        <w:autoSpaceDE/>
        <w:autoSpaceDN/>
        <w:bidi w:val="0"/>
        <w:adjustRightInd/>
        <w:snapToGrid/>
        <w:spacing w:line="720" w:lineRule="exact"/>
        <w:ind w:firstLine="723" w:firstLineChars="200"/>
        <w:jc w:val="left"/>
        <w:textAlignment w:val="auto"/>
        <w:rPr>
          <w:rFonts w:ascii="宋体" w:hAnsi="宋体" w:cs="宋体"/>
          <w:sz w:val="36"/>
          <w:szCs w:val="36"/>
        </w:rPr>
      </w:pPr>
      <w:r>
        <w:rPr>
          <w:rFonts w:hint="eastAsia" w:ascii="宋体" w:hAnsi="宋体" w:cs="宋体"/>
          <w:b/>
          <w:sz w:val="36"/>
          <w:szCs w:val="36"/>
        </w:rPr>
        <w:t>（一）机关运行经费：</w:t>
      </w:r>
      <w:r>
        <w:rPr>
          <w:rFonts w:hint="eastAsia" w:ascii="宋体" w:hAnsi="宋体" w:cs="宋体"/>
          <w:sz w:val="36"/>
          <w:szCs w:val="36"/>
        </w:rPr>
        <w:t>2022年本部门机关运行经费37.6万元，比上年预算增加5.9万元，上升18.61%，主要原因是上年结转结余。</w:t>
      </w:r>
    </w:p>
    <w:p>
      <w:pPr>
        <w:keepNext w:val="0"/>
        <w:keepLines w:val="0"/>
        <w:pageBreakBefore w:val="0"/>
        <w:widowControl/>
        <w:kinsoku/>
        <w:wordWrap/>
        <w:overflowPunct/>
        <w:topLinePunct w:val="0"/>
        <w:autoSpaceDE/>
        <w:autoSpaceDN/>
        <w:bidi w:val="0"/>
        <w:adjustRightInd/>
        <w:snapToGrid/>
        <w:spacing w:line="720" w:lineRule="exact"/>
        <w:ind w:firstLine="723" w:firstLineChars="200"/>
        <w:textAlignment w:val="auto"/>
        <w:rPr>
          <w:rFonts w:ascii="宋体" w:hAnsi="宋体" w:cs="宋体"/>
          <w:sz w:val="36"/>
          <w:szCs w:val="36"/>
        </w:rPr>
      </w:pPr>
      <w:r>
        <w:rPr>
          <w:rFonts w:hint="eastAsia" w:ascii="宋体" w:hAnsi="宋体" w:cs="宋体"/>
          <w:b/>
          <w:sz w:val="36"/>
          <w:szCs w:val="36"/>
        </w:rPr>
        <w:t>（二）“三公”经费预算：</w:t>
      </w:r>
      <w:r>
        <w:rPr>
          <w:rFonts w:hint="eastAsia" w:ascii="宋体" w:hAnsi="宋体" w:cs="宋体"/>
          <w:sz w:val="36"/>
          <w:szCs w:val="36"/>
        </w:rPr>
        <w:t>2022年本部门“三公”经费预算数为9.6万元，其中，公务接待费9.6万元，公务用车购置及运行费0万元（其中，公务用车购置费0万元，公务用车运行费0万元），因公出国（境）费0万元。2022年“三公”经费预算较上年减少6.2万元，主要原因是厉行节约、反对铺张浪费。</w:t>
      </w:r>
    </w:p>
    <w:p>
      <w:pPr>
        <w:keepNext w:val="0"/>
        <w:keepLines w:val="0"/>
        <w:pageBreakBefore w:val="0"/>
        <w:widowControl/>
        <w:kinsoku/>
        <w:wordWrap/>
        <w:overflowPunct/>
        <w:topLinePunct w:val="0"/>
        <w:autoSpaceDE/>
        <w:autoSpaceDN/>
        <w:bidi w:val="0"/>
        <w:adjustRightInd/>
        <w:snapToGrid/>
        <w:spacing w:line="720" w:lineRule="exact"/>
        <w:ind w:firstLine="723" w:firstLineChars="200"/>
        <w:textAlignment w:val="auto"/>
        <w:rPr>
          <w:rFonts w:ascii="宋体" w:hAnsi="宋体" w:cs="宋体"/>
          <w:kern w:val="0"/>
          <w:sz w:val="36"/>
          <w:szCs w:val="36"/>
        </w:rPr>
      </w:pPr>
      <w:r>
        <w:rPr>
          <w:rFonts w:hint="eastAsia" w:ascii="宋体" w:hAnsi="宋体" w:cs="宋体"/>
          <w:b/>
          <w:sz w:val="36"/>
          <w:szCs w:val="36"/>
        </w:rPr>
        <w:t>（三）一般性支出情况：</w:t>
      </w:r>
      <w:r>
        <w:rPr>
          <w:rFonts w:hint="eastAsia" w:ascii="宋体" w:hAnsi="宋体" w:cs="宋体"/>
          <w:kern w:val="0"/>
          <w:sz w:val="36"/>
          <w:szCs w:val="36"/>
        </w:rPr>
        <w:t>2022年本部门会议费预算</w:t>
      </w:r>
      <w:r>
        <w:rPr>
          <w:rFonts w:hint="eastAsia" w:ascii="宋体" w:hAnsi="宋体" w:cs="宋体"/>
          <w:sz w:val="36"/>
          <w:szCs w:val="36"/>
        </w:rPr>
        <w:t>1.6</w:t>
      </w:r>
      <w:r>
        <w:rPr>
          <w:rFonts w:hint="eastAsia" w:ascii="宋体" w:hAnsi="宋体" w:cs="宋体"/>
          <w:kern w:val="0"/>
          <w:sz w:val="36"/>
          <w:szCs w:val="36"/>
        </w:rPr>
        <w:t>万元，拟召开</w:t>
      </w:r>
      <w:r>
        <w:rPr>
          <w:rFonts w:hint="eastAsia" w:ascii="宋体" w:hAnsi="宋体" w:cs="宋体"/>
          <w:sz w:val="36"/>
          <w:szCs w:val="36"/>
        </w:rPr>
        <w:t>2次</w:t>
      </w:r>
      <w:r>
        <w:rPr>
          <w:rFonts w:hint="eastAsia" w:ascii="宋体" w:hAnsi="宋体" w:cs="宋体"/>
          <w:kern w:val="0"/>
          <w:sz w:val="36"/>
          <w:szCs w:val="36"/>
        </w:rPr>
        <w:t>会议，人数</w:t>
      </w:r>
      <w:r>
        <w:rPr>
          <w:rFonts w:hint="eastAsia" w:ascii="宋体" w:hAnsi="宋体" w:cs="宋体"/>
          <w:sz w:val="36"/>
          <w:szCs w:val="36"/>
        </w:rPr>
        <w:t>45</w:t>
      </w:r>
      <w:r>
        <w:rPr>
          <w:rFonts w:hint="eastAsia" w:ascii="宋体" w:hAnsi="宋体" w:cs="宋体"/>
          <w:kern w:val="0"/>
          <w:sz w:val="36"/>
          <w:szCs w:val="36"/>
        </w:rPr>
        <w:t>人，内容为消除薄弱村、发展集体经济和农村宅基地审批管理及纠纷调处等工作；培训费预算</w:t>
      </w:r>
      <w:r>
        <w:rPr>
          <w:rFonts w:hint="eastAsia" w:ascii="宋体" w:hAnsi="宋体" w:cs="宋体"/>
          <w:sz w:val="36"/>
          <w:szCs w:val="36"/>
        </w:rPr>
        <w:t>0.5</w:t>
      </w:r>
      <w:r>
        <w:rPr>
          <w:rFonts w:hint="eastAsia" w:ascii="宋体" w:hAnsi="宋体" w:cs="宋体"/>
          <w:kern w:val="0"/>
          <w:sz w:val="36"/>
          <w:szCs w:val="36"/>
        </w:rPr>
        <w:t>万元，拟开展</w:t>
      </w:r>
      <w:r>
        <w:rPr>
          <w:rFonts w:hint="eastAsia" w:ascii="宋体" w:hAnsi="宋体" w:cs="宋体"/>
          <w:sz w:val="36"/>
          <w:szCs w:val="36"/>
        </w:rPr>
        <w:t>２次</w:t>
      </w:r>
      <w:r>
        <w:rPr>
          <w:rFonts w:hint="eastAsia" w:ascii="宋体" w:hAnsi="宋体" w:cs="宋体"/>
          <w:kern w:val="0"/>
          <w:sz w:val="36"/>
          <w:szCs w:val="36"/>
        </w:rPr>
        <w:t>培训，人数</w:t>
      </w:r>
      <w:r>
        <w:rPr>
          <w:rFonts w:hint="eastAsia" w:ascii="宋体" w:hAnsi="宋体" w:cs="宋体"/>
          <w:sz w:val="36"/>
          <w:szCs w:val="36"/>
        </w:rPr>
        <w:t>65</w:t>
      </w:r>
      <w:r>
        <w:rPr>
          <w:rFonts w:hint="eastAsia" w:ascii="宋体" w:hAnsi="宋体" w:cs="宋体"/>
          <w:kern w:val="0"/>
          <w:sz w:val="36"/>
          <w:szCs w:val="36"/>
        </w:rPr>
        <w:t>人，内容为</w:t>
      </w:r>
      <w:r>
        <w:rPr>
          <w:rFonts w:hint="eastAsia" w:ascii="宋体" w:hAnsi="宋体" w:cs="宋体"/>
          <w:sz w:val="36"/>
          <w:szCs w:val="36"/>
        </w:rPr>
        <w:t>农民权益维护和负担监督管理工作、农村土地承包经营纠纷调解仲裁等工作</w:t>
      </w:r>
      <w:r>
        <w:rPr>
          <w:rFonts w:hint="eastAsia" w:ascii="宋体" w:hAnsi="宋体" w:cs="宋体"/>
          <w:kern w:val="0"/>
          <w:sz w:val="36"/>
          <w:szCs w:val="36"/>
        </w:rPr>
        <w:t>；拟举办</w:t>
      </w:r>
      <w:r>
        <w:rPr>
          <w:rFonts w:hint="eastAsia" w:ascii="宋体" w:hAnsi="宋体" w:cs="宋体"/>
          <w:sz w:val="36"/>
          <w:szCs w:val="36"/>
        </w:rPr>
        <w:t>０场</w:t>
      </w:r>
      <w:r>
        <w:rPr>
          <w:rFonts w:hint="eastAsia" w:ascii="宋体" w:hAnsi="宋体" w:cs="宋体"/>
          <w:kern w:val="0"/>
          <w:sz w:val="36"/>
          <w:szCs w:val="36"/>
        </w:rPr>
        <w:t>节庆、晚会、论坛、赛事活动，经费预算0万元。</w:t>
      </w:r>
    </w:p>
    <w:p>
      <w:pPr>
        <w:keepNext w:val="0"/>
        <w:keepLines w:val="0"/>
        <w:pageBreakBefore w:val="0"/>
        <w:widowControl/>
        <w:kinsoku/>
        <w:wordWrap/>
        <w:overflowPunct/>
        <w:topLinePunct w:val="0"/>
        <w:autoSpaceDE/>
        <w:autoSpaceDN/>
        <w:bidi w:val="0"/>
        <w:adjustRightInd/>
        <w:snapToGrid/>
        <w:spacing w:line="720" w:lineRule="exact"/>
        <w:ind w:firstLine="723" w:firstLineChars="200"/>
        <w:textAlignment w:val="auto"/>
        <w:rPr>
          <w:rFonts w:ascii="宋体" w:hAnsi="宋体" w:cs="宋体"/>
          <w:sz w:val="36"/>
          <w:szCs w:val="36"/>
        </w:rPr>
      </w:pPr>
      <w:r>
        <w:rPr>
          <w:rFonts w:hint="eastAsia" w:ascii="宋体" w:hAnsi="宋体" w:cs="宋体"/>
          <w:b/>
          <w:sz w:val="36"/>
          <w:szCs w:val="36"/>
        </w:rPr>
        <w:t>（四）政府采购情况：</w:t>
      </w:r>
      <w:r>
        <w:rPr>
          <w:rFonts w:hint="eastAsia" w:ascii="宋体" w:hAnsi="宋体" w:cs="宋体"/>
          <w:sz w:val="36"/>
          <w:szCs w:val="36"/>
        </w:rPr>
        <w:t>2022年本部门政府采购预算总额0万元，其中，货物类采购预算0万元；工程类采购预算0万元；服务类采购预算0万元。</w:t>
      </w:r>
    </w:p>
    <w:p>
      <w:pPr>
        <w:keepNext w:val="0"/>
        <w:keepLines w:val="0"/>
        <w:pageBreakBefore w:val="0"/>
        <w:widowControl/>
        <w:kinsoku/>
        <w:wordWrap/>
        <w:overflowPunct/>
        <w:topLinePunct w:val="0"/>
        <w:autoSpaceDE/>
        <w:autoSpaceDN/>
        <w:bidi w:val="0"/>
        <w:adjustRightInd/>
        <w:snapToGrid/>
        <w:spacing w:line="720" w:lineRule="exact"/>
        <w:ind w:firstLine="723" w:firstLineChars="200"/>
        <w:jc w:val="left"/>
        <w:textAlignment w:val="auto"/>
        <w:rPr>
          <w:rFonts w:ascii="宋体" w:hAnsi="宋体" w:cs="宋体"/>
          <w:bCs/>
          <w:kern w:val="0"/>
          <w:sz w:val="36"/>
          <w:szCs w:val="36"/>
        </w:rPr>
      </w:pPr>
      <w:r>
        <w:rPr>
          <w:rFonts w:hint="eastAsia" w:ascii="宋体" w:hAnsi="宋体" w:cs="宋体"/>
          <w:b/>
          <w:kern w:val="0"/>
          <w:sz w:val="36"/>
          <w:szCs w:val="36"/>
        </w:rPr>
        <w:t>（五）</w:t>
      </w:r>
      <w:r>
        <w:rPr>
          <w:rFonts w:hint="eastAsia" w:ascii="宋体" w:hAnsi="宋体" w:cs="宋体"/>
          <w:b/>
          <w:sz w:val="36"/>
          <w:szCs w:val="36"/>
        </w:rPr>
        <w:t>国有资产占用使用及新增资产配置情况：</w:t>
      </w:r>
      <w:r>
        <w:rPr>
          <w:rFonts w:hint="eastAsia" w:ascii="宋体" w:hAnsi="宋体" w:cs="宋体"/>
          <w:sz w:val="36"/>
          <w:szCs w:val="36"/>
        </w:rPr>
        <w:t>截至2021年12月底，本部门</w:t>
      </w:r>
      <w:r>
        <w:rPr>
          <w:rFonts w:hint="eastAsia" w:ascii="宋体" w:hAnsi="宋体" w:cs="宋体"/>
          <w:bCs/>
          <w:kern w:val="0"/>
          <w:sz w:val="36"/>
          <w:szCs w:val="36"/>
        </w:rPr>
        <w:t>共有公务用车0辆，其中，机要通信用车0辆，应急保障用车0辆，执法执勤用车0辆，特种专业技术用车0辆，其他按照规定配备的公务用车0辆；单位价值50万元以上通用设备0台，单位价值100万元以上专用设备0台。2022年拟新增配置公务用车0辆，其中，机要通信用车0辆，应急保障用车0辆，执法执勤用车0辆，特种专业技术用车0辆，其他按照规定配备的公务用车0辆；新增配备单位价值50万元以上通用设备0台，单位价值100万元以上专用设备0台。</w:t>
      </w:r>
    </w:p>
    <w:p>
      <w:pPr>
        <w:keepNext w:val="0"/>
        <w:keepLines w:val="0"/>
        <w:pageBreakBefore w:val="0"/>
        <w:widowControl/>
        <w:kinsoku/>
        <w:wordWrap/>
        <w:overflowPunct/>
        <w:topLinePunct w:val="0"/>
        <w:autoSpaceDE/>
        <w:autoSpaceDN/>
        <w:bidi w:val="0"/>
        <w:adjustRightInd/>
        <w:snapToGrid/>
        <w:spacing w:line="720" w:lineRule="exact"/>
        <w:ind w:firstLine="723" w:firstLineChars="200"/>
        <w:jc w:val="left"/>
        <w:textAlignment w:val="auto"/>
        <w:rPr>
          <w:rFonts w:ascii="宋体" w:hAnsi="宋体" w:cs="宋体"/>
          <w:bCs/>
          <w:kern w:val="0"/>
          <w:sz w:val="36"/>
          <w:szCs w:val="36"/>
        </w:rPr>
      </w:pPr>
      <w:r>
        <w:rPr>
          <w:rFonts w:hint="eastAsia" w:ascii="宋体" w:hAnsi="宋体" w:cs="宋体"/>
          <w:b/>
          <w:kern w:val="0"/>
          <w:sz w:val="36"/>
          <w:szCs w:val="36"/>
        </w:rPr>
        <w:t>（六）预</w:t>
      </w:r>
      <w:r>
        <w:rPr>
          <w:rFonts w:hint="eastAsia" w:ascii="宋体" w:hAnsi="宋体" w:cs="宋体"/>
          <w:b/>
          <w:bCs/>
          <w:kern w:val="0"/>
          <w:sz w:val="36"/>
          <w:szCs w:val="36"/>
        </w:rPr>
        <w:t>算绩效目标说明：</w:t>
      </w:r>
      <w:r>
        <w:rPr>
          <w:rFonts w:hint="eastAsia" w:ascii="宋体" w:hAnsi="宋体" w:cs="宋体"/>
          <w:bCs/>
          <w:kern w:val="0"/>
          <w:sz w:val="36"/>
          <w:szCs w:val="36"/>
        </w:rPr>
        <w:t>本部门所有支出实行绩效目标管理。纳入2022年部门整体支出绩效目标的金额为</w:t>
      </w:r>
      <w:r>
        <w:rPr>
          <w:rFonts w:hint="eastAsia" w:ascii="宋体" w:hAnsi="宋体" w:cs="宋体"/>
          <w:sz w:val="36"/>
          <w:szCs w:val="36"/>
        </w:rPr>
        <w:t>328.12</w:t>
      </w:r>
      <w:r>
        <w:rPr>
          <w:rFonts w:hint="eastAsia" w:ascii="宋体" w:hAnsi="宋体" w:cs="宋体"/>
          <w:bCs/>
          <w:kern w:val="0"/>
          <w:sz w:val="36"/>
          <w:szCs w:val="36"/>
        </w:rPr>
        <w:t>万元，其中，基本支出</w:t>
      </w:r>
      <w:r>
        <w:rPr>
          <w:rFonts w:hint="eastAsia" w:ascii="宋体" w:hAnsi="宋体" w:cs="宋体"/>
          <w:sz w:val="36"/>
          <w:szCs w:val="36"/>
        </w:rPr>
        <w:t>233.54</w:t>
      </w:r>
      <w:r>
        <w:rPr>
          <w:rFonts w:hint="eastAsia" w:ascii="宋体" w:hAnsi="宋体" w:cs="宋体"/>
          <w:bCs/>
          <w:kern w:val="0"/>
          <w:sz w:val="36"/>
          <w:szCs w:val="36"/>
        </w:rPr>
        <w:t>万元，项目支出</w:t>
      </w:r>
      <w:r>
        <w:rPr>
          <w:rFonts w:hint="eastAsia" w:ascii="宋体" w:hAnsi="宋体" w:cs="宋体"/>
          <w:sz w:val="36"/>
          <w:szCs w:val="36"/>
        </w:rPr>
        <w:t>94.58</w:t>
      </w:r>
      <w:r>
        <w:rPr>
          <w:rFonts w:hint="eastAsia" w:ascii="宋体" w:hAnsi="宋体" w:cs="宋体"/>
          <w:bCs/>
          <w:kern w:val="0"/>
          <w:sz w:val="36"/>
          <w:szCs w:val="36"/>
        </w:rPr>
        <w:t>万元，具体绩效目标详见报表。</w:t>
      </w:r>
    </w:p>
    <w:p>
      <w:pPr>
        <w:keepNext w:val="0"/>
        <w:keepLines w:val="0"/>
        <w:pageBreakBefore w:val="0"/>
        <w:widowControl/>
        <w:kinsoku/>
        <w:wordWrap/>
        <w:overflowPunct/>
        <w:topLinePunct w:val="0"/>
        <w:autoSpaceDE/>
        <w:autoSpaceDN/>
        <w:bidi w:val="0"/>
        <w:adjustRightInd/>
        <w:snapToGrid/>
        <w:spacing w:line="720" w:lineRule="exact"/>
        <w:ind w:firstLine="723" w:firstLineChars="200"/>
        <w:textAlignment w:val="auto"/>
        <w:rPr>
          <w:rFonts w:ascii="宋体" w:hAnsi="宋体" w:cs="宋体"/>
          <w:sz w:val="36"/>
          <w:szCs w:val="36"/>
        </w:rPr>
      </w:pPr>
      <w:r>
        <w:rPr>
          <w:rFonts w:hint="eastAsia" w:ascii="宋体" w:hAnsi="宋体" w:cs="宋体"/>
          <w:b/>
          <w:bCs/>
          <w:sz w:val="36"/>
          <w:szCs w:val="36"/>
        </w:rPr>
        <w:t>七、名词解释</w:t>
      </w:r>
    </w:p>
    <w:p>
      <w:pPr>
        <w:keepNext w:val="0"/>
        <w:keepLines w:val="0"/>
        <w:pageBreakBefore w:val="0"/>
        <w:widowControl/>
        <w:kinsoku/>
        <w:wordWrap/>
        <w:overflowPunct/>
        <w:topLinePunct w:val="0"/>
        <w:autoSpaceDE/>
        <w:autoSpaceDN/>
        <w:bidi w:val="0"/>
        <w:adjustRightInd/>
        <w:snapToGrid/>
        <w:spacing w:line="720" w:lineRule="exact"/>
        <w:ind w:firstLine="720" w:firstLineChars="200"/>
        <w:textAlignment w:val="auto"/>
        <w:rPr>
          <w:rFonts w:ascii="宋体" w:hAnsi="宋体" w:cs="宋体"/>
          <w:sz w:val="36"/>
          <w:szCs w:val="36"/>
        </w:rPr>
      </w:pPr>
      <w:r>
        <w:rPr>
          <w:rFonts w:hint="eastAsia" w:ascii="宋体" w:hAnsi="宋体" w:cs="宋体"/>
          <w:sz w:val="36"/>
          <w:szCs w:val="36"/>
          <w:lang w:bidi="ar"/>
        </w:rPr>
        <w:t>1、一般公共预算：是对以税收为主体的财政收入，安排用于保障和改善民生、推动经济社会发展、维护国家安全、维持国家机构正常运转等方面的收支预算。一般公共预算收入即通常所指的“财政收入”，按照2015年1月1日起施行的新《预算法》，改称“一般公共预算收入”。全县一般公共预算收入由地方收入、上划中央收入、上划省级收入三部分构成。</w:t>
      </w:r>
    </w:p>
    <w:p>
      <w:pPr>
        <w:keepNext w:val="0"/>
        <w:keepLines w:val="0"/>
        <w:pageBreakBefore w:val="0"/>
        <w:widowControl/>
        <w:kinsoku/>
        <w:wordWrap/>
        <w:overflowPunct/>
        <w:topLinePunct w:val="0"/>
        <w:autoSpaceDE/>
        <w:autoSpaceDN/>
        <w:bidi w:val="0"/>
        <w:adjustRightInd/>
        <w:snapToGrid/>
        <w:spacing w:line="720" w:lineRule="exact"/>
        <w:ind w:firstLine="720" w:firstLineChars="200"/>
        <w:textAlignment w:val="auto"/>
        <w:rPr>
          <w:rFonts w:ascii="宋体" w:hAnsi="宋体" w:cs="宋体"/>
          <w:sz w:val="36"/>
          <w:szCs w:val="36"/>
        </w:rPr>
      </w:pPr>
      <w:r>
        <w:rPr>
          <w:rFonts w:hint="eastAsia" w:ascii="宋体" w:hAnsi="宋体" w:cs="宋体"/>
          <w:sz w:val="36"/>
          <w:szCs w:val="36"/>
          <w:lang w:bidi="ar"/>
        </w:rPr>
        <w:t>2、政府性基金预算：是对依照法律、行政法规的规定在一定期限内向特定对象征收、收取或者以其他方式筹集的资金，专项用于特定公共事业发展的收支预算。应当根据基金项目收入情况和实际支出需要，按基金项目编制，做到以收定支。</w:t>
      </w:r>
    </w:p>
    <w:p>
      <w:pPr>
        <w:keepNext w:val="0"/>
        <w:keepLines w:val="0"/>
        <w:pageBreakBefore w:val="0"/>
        <w:widowControl/>
        <w:kinsoku/>
        <w:wordWrap/>
        <w:overflowPunct/>
        <w:topLinePunct w:val="0"/>
        <w:autoSpaceDE/>
        <w:autoSpaceDN/>
        <w:bidi w:val="0"/>
        <w:adjustRightInd/>
        <w:snapToGrid/>
        <w:spacing w:line="720" w:lineRule="exact"/>
        <w:ind w:firstLine="720" w:firstLineChars="200"/>
        <w:textAlignment w:val="auto"/>
        <w:rPr>
          <w:rFonts w:ascii="宋体" w:hAnsi="宋体" w:cs="宋体"/>
          <w:sz w:val="36"/>
          <w:szCs w:val="36"/>
        </w:rPr>
      </w:pPr>
      <w:r>
        <w:rPr>
          <w:rFonts w:hint="eastAsia" w:ascii="宋体" w:hAnsi="宋体" w:cs="宋体"/>
          <w:sz w:val="36"/>
          <w:szCs w:val="36"/>
          <w:lang w:bidi="ar"/>
        </w:rPr>
        <w:t>3、国有资本经营预算：是对国有资本收益作出支出安排的收支预算。应当按照收支平衡的原则编制，不列赤字，并安排资金调入一般公共预算。</w:t>
      </w:r>
    </w:p>
    <w:p>
      <w:pPr>
        <w:keepNext w:val="0"/>
        <w:keepLines w:val="0"/>
        <w:pageBreakBefore w:val="0"/>
        <w:widowControl/>
        <w:kinsoku/>
        <w:wordWrap/>
        <w:overflowPunct/>
        <w:topLinePunct w:val="0"/>
        <w:autoSpaceDE/>
        <w:autoSpaceDN/>
        <w:bidi w:val="0"/>
        <w:adjustRightInd/>
        <w:snapToGrid/>
        <w:spacing w:line="720" w:lineRule="exact"/>
        <w:ind w:firstLine="720" w:firstLineChars="200"/>
        <w:textAlignment w:val="auto"/>
        <w:rPr>
          <w:rFonts w:ascii="宋体" w:hAnsi="宋体" w:cs="宋体"/>
          <w:sz w:val="36"/>
          <w:szCs w:val="36"/>
        </w:rPr>
      </w:pPr>
      <w:r>
        <w:rPr>
          <w:rFonts w:hint="eastAsia" w:ascii="宋体" w:hAnsi="宋体" w:cs="宋体"/>
          <w:sz w:val="36"/>
          <w:szCs w:val="36"/>
          <w:lang w:bidi="ar"/>
        </w:rPr>
        <w:t>4、社会保险基金预算：是对社会保险缴款、一般公共预算安排和其他方式筹集的资金，专项用于社会保险的收支预算。应当按照统筹层次和社会保险项目分别编制，做到收支平衡。</w:t>
      </w:r>
    </w:p>
    <w:p>
      <w:pPr>
        <w:keepNext w:val="0"/>
        <w:keepLines w:val="0"/>
        <w:pageBreakBefore w:val="0"/>
        <w:widowControl/>
        <w:kinsoku/>
        <w:wordWrap/>
        <w:overflowPunct/>
        <w:topLinePunct w:val="0"/>
        <w:autoSpaceDE/>
        <w:autoSpaceDN/>
        <w:bidi w:val="0"/>
        <w:adjustRightInd/>
        <w:snapToGrid/>
        <w:spacing w:line="720" w:lineRule="exact"/>
        <w:ind w:firstLine="720" w:firstLineChars="200"/>
        <w:textAlignment w:val="auto"/>
        <w:rPr>
          <w:rFonts w:ascii="宋体" w:hAnsi="宋体" w:cs="宋体"/>
          <w:sz w:val="36"/>
          <w:szCs w:val="36"/>
        </w:rPr>
      </w:pPr>
      <w:r>
        <w:rPr>
          <w:rFonts w:hint="eastAsia" w:ascii="宋体" w:hAnsi="宋体" w:cs="宋体"/>
          <w:sz w:val="36"/>
          <w:szCs w:val="36"/>
          <w:lang w:bidi="ar"/>
        </w:rPr>
        <w:t>5、基本支出：指为保障机构正常运转、完成日常工作任务而发生的人员支出和公用支出。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720" w:lineRule="exact"/>
        <w:ind w:firstLine="720" w:firstLineChars="200"/>
        <w:textAlignment w:val="auto"/>
        <w:rPr>
          <w:rFonts w:ascii="宋体" w:hAnsi="宋体" w:cs="宋体"/>
          <w:sz w:val="36"/>
          <w:szCs w:val="36"/>
        </w:rPr>
      </w:pPr>
      <w:r>
        <w:rPr>
          <w:rFonts w:hint="eastAsia" w:ascii="宋体" w:hAnsi="宋体" w:cs="宋体"/>
          <w:sz w:val="36"/>
          <w:szCs w:val="36"/>
          <w:lang w:bidi="ar"/>
        </w:rPr>
        <w:t>6、项目支出：指在基本支出之外为完成特定行政任务和事业发展目标所发生的支出。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720" w:lineRule="exact"/>
        <w:ind w:firstLine="720" w:firstLineChars="200"/>
        <w:textAlignment w:val="auto"/>
        <w:rPr>
          <w:rFonts w:ascii="宋体" w:hAnsi="宋体" w:cs="宋体"/>
          <w:sz w:val="36"/>
          <w:szCs w:val="36"/>
        </w:rPr>
      </w:pPr>
      <w:r>
        <w:rPr>
          <w:rFonts w:hint="eastAsia" w:ascii="宋体" w:hAnsi="宋体" w:cs="宋体"/>
          <w:sz w:val="36"/>
          <w:szCs w:val="36"/>
          <w:lang w:bidi="ar"/>
        </w:rPr>
        <w:t>7、“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keepNext w:val="0"/>
        <w:keepLines w:val="0"/>
        <w:pageBreakBefore w:val="0"/>
        <w:widowControl/>
        <w:kinsoku/>
        <w:wordWrap/>
        <w:overflowPunct/>
        <w:topLinePunct w:val="0"/>
        <w:autoSpaceDE/>
        <w:autoSpaceDN/>
        <w:bidi w:val="0"/>
        <w:adjustRightInd/>
        <w:snapToGrid/>
        <w:spacing w:line="720" w:lineRule="exact"/>
        <w:ind w:firstLine="720" w:firstLineChars="200"/>
        <w:textAlignment w:val="auto"/>
        <w:rPr>
          <w:rFonts w:ascii="宋体" w:hAnsi="宋体" w:cs="宋体"/>
          <w:sz w:val="36"/>
          <w:szCs w:val="36"/>
        </w:rPr>
      </w:pPr>
      <w:r>
        <w:rPr>
          <w:rFonts w:hint="eastAsia" w:ascii="宋体" w:hAnsi="宋体" w:cs="宋体"/>
          <w:sz w:val="36"/>
          <w:szCs w:val="36"/>
          <w:lang w:bidi="ar"/>
        </w:rPr>
        <w:t>8、机关运行经费：机关运行经费指为保障行政单位（包括参照公务员法管理的事业单位）运行，用于购买货物和服务的各项资金。包括办公及印刷费、邮电费、差旅费、会议费、福利费、日常维修费、专用材料费及一般设备购置费、办公用房水电费、公务用车运行维护费及其他费用。</w:t>
      </w:r>
    </w:p>
    <w:p>
      <w:pPr>
        <w:keepNext w:val="0"/>
        <w:keepLines w:val="0"/>
        <w:pageBreakBefore w:val="0"/>
        <w:widowControl/>
        <w:kinsoku/>
        <w:wordWrap/>
        <w:overflowPunct/>
        <w:topLinePunct w:val="0"/>
        <w:autoSpaceDE/>
        <w:autoSpaceDN/>
        <w:bidi w:val="0"/>
        <w:adjustRightInd/>
        <w:snapToGrid/>
        <w:spacing w:line="720" w:lineRule="exact"/>
        <w:ind w:firstLine="723" w:firstLineChars="200"/>
        <w:textAlignment w:val="auto"/>
        <w:rPr>
          <w:rFonts w:ascii="宋体" w:hAnsi="宋体" w:cs="宋体"/>
          <w:b/>
          <w:kern w:val="0"/>
          <w:sz w:val="36"/>
          <w:szCs w:val="36"/>
        </w:rPr>
      </w:pPr>
    </w:p>
    <w:p>
      <w:pPr>
        <w:keepNext w:val="0"/>
        <w:keepLines w:val="0"/>
        <w:pageBreakBefore w:val="0"/>
        <w:widowControl/>
        <w:kinsoku/>
        <w:wordWrap/>
        <w:overflowPunct/>
        <w:topLinePunct w:val="0"/>
        <w:autoSpaceDE/>
        <w:autoSpaceDN/>
        <w:bidi w:val="0"/>
        <w:adjustRightInd/>
        <w:snapToGrid/>
        <w:spacing w:line="720" w:lineRule="exact"/>
        <w:ind w:firstLine="723" w:firstLineChars="200"/>
        <w:textAlignment w:val="auto"/>
        <w:rPr>
          <w:rFonts w:ascii="宋体" w:hAnsi="宋体" w:cs="宋体"/>
          <w:bCs/>
          <w:kern w:val="0"/>
          <w:sz w:val="36"/>
          <w:szCs w:val="36"/>
        </w:rPr>
      </w:pPr>
      <w:r>
        <w:rPr>
          <w:rFonts w:hint="eastAsia" w:ascii="宋体" w:hAnsi="宋体" w:cs="宋体"/>
          <w:b/>
          <w:kern w:val="0"/>
          <w:sz w:val="36"/>
          <w:szCs w:val="36"/>
        </w:rPr>
        <w:t>第二部分 2022年部门预算表</w:t>
      </w:r>
    </w:p>
    <w:p>
      <w:pPr>
        <w:keepNext w:val="0"/>
        <w:keepLines w:val="0"/>
        <w:pageBreakBefore w:val="0"/>
        <w:kinsoku/>
        <w:wordWrap/>
        <w:overflowPunct/>
        <w:topLinePunct w:val="0"/>
        <w:autoSpaceDE/>
        <w:autoSpaceDN/>
        <w:bidi w:val="0"/>
        <w:adjustRightInd/>
        <w:snapToGrid/>
        <w:spacing w:line="720" w:lineRule="exact"/>
        <w:ind w:firstLine="720" w:firstLineChars="200"/>
        <w:textAlignment w:val="auto"/>
        <w:rPr>
          <w:rFonts w:ascii="宋体" w:hAnsi="宋体" w:cs="宋体"/>
          <w:sz w:val="36"/>
          <w:szCs w:val="36"/>
        </w:rPr>
      </w:pPr>
      <w:r>
        <w:rPr>
          <w:rFonts w:hint="eastAsia" w:ascii="宋体" w:hAnsi="宋体" w:cs="宋体"/>
          <w:sz w:val="36"/>
          <w:szCs w:val="36"/>
        </w:rPr>
        <w:t>（上传附件）</w:t>
      </w:r>
    </w:p>
    <w:p>
      <w:pPr>
        <w:spacing w:line="440" w:lineRule="exact"/>
        <w:ind w:firstLine="420" w:firstLineChars="200"/>
      </w:pPr>
    </w:p>
    <w:sectPr>
      <w:headerReference r:id="rId3" w:type="default"/>
      <w:footerReference r:id="rId4" w:type="default"/>
      <w:footerReference r:id="rId5" w:type="even"/>
      <w:pgSz w:w="11905" w:h="16837"/>
      <w:pgMar w:top="1418" w:right="1588" w:bottom="1418" w:left="1588" w:header="720" w:footer="1701" w:gutter="0"/>
      <w:pgBorders>
        <w:top w:val="none" w:sz="0" w:space="0"/>
        <w:left w:val="none" w:sz="0" w:space="0"/>
        <w:bottom w:val="none" w:sz="0" w:space="0"/>
        <w:right w:val="none" w:sz="0" w:space="0"/>
      </w:pgBorders>
      <w:pgNumType w:start="1"/>
      <w:cols w:space="720" w:num="1"/>
      <w:titlePg/>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0" w:firstLine="36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ind w:right="280" w:firstLine="360"/>
                            <w:jc w:val="right"/>
                          </w:pPr>
                          <w:r>
                            <w:rPr>
                              <w:rStyle w:val="12"/>
                              <w:rFonts w:hint="eastAsia" w:ascii="宋体" w:hAnsi="宋体"/>
                              <w:sz w:val="28"/>
                              <w:szCs w:val="28"/>
                            </w:rPr>
                            <w:t>—</w:t>
                          </w:r>
                          <w:r>
                            <w:rPr>
                              <w:rFonts w:ascii="宋体" w:hAnsi="宋体"/>
                              <w:sz w:val="28"/>
                              <w:szCs w:val="28"/>
                            </w:rPr>
                            <w:fldChar w:fldCharType="begin"/>
                          </w:r>
                          <w:r>
                            <w:rPr>
                              <w:rStyle w:val="12"/>
                              <w:rFonts w:ascii="宋体" w:hAnsi="宋体"/>
                              <w:sz w:val="28"/>
                              <w:szCs w:val="28"/>
                            </w:rPr>
                            <w:instrText xml:space="preserve"> PAGE </w:instrText>
                          </w:r>
                          <w:r>
                            <w:rPr>
                              <w:rFonts w:ascii="宋体" w:hAnsi="宋体"/>
                              <w:sz w:val="28"/>
                              <w:szCs w:val="28"/>
                            </w:rPr>
                            <w:fldChar w:fldCharType="separate"/>
                          </w:r>
                          <w:r>
                            <w:rPr>
                              <w:rStyle w:val="12"/>
                              <w:rFonts w:ascii="宋体" w:hAnsi="宋体"/>
                              <w:sz w:val="28"/>
                              <w:szCs w:val="28"/>
                            </w:rPr>
                            <w:t>6</w:t>
                          </w:r>
                          <w:r>
                            <w:rPr>
                              <w:rFonts w:ascii="宋体" w:hAnsi="宋体"/>
                              <w:sz w:val="28"/>
                              <w:szCs w:val="28"/>
                            </w:rPr>
                            <w:fldChar w:fldCharType="end"/>
                          </w:r>
                          <w:r>
                            <w:rPr>
                              <w:rStyle w:val="12"/>
                              <w:rFonts w:hint="eastAsia" w:ascii="宋体" w:hAnsi="宋体"/>
                              <w:sz w:val="28"/>
                              <w:szCs w:val="28"/>
                            </w:rPr>
                            <w:t>—</w:t>
                          </w:r>
                        </w:p>
                      </w:txbxContent>
                    </wps:txbx>
                    <wps:bodyPr vert="horz" wrap="none" lIns="0" tIns="0" rIns="0" bIns="0" anchor="t" anchorCtr="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pgkvTAAAABQEAAA8AAAAA&#10;AAAAAQAgAAAAIgAAAGRycy9kb3ducmV2LnhtbFBLAQIUABQAAAAIAIdO4kDw1q/M4AEAALwDAAAO&#10;AAAAAAAAAAEAIAAAACIBAABkcnMvZTJvRG9jLnhtbFBLBQYAAAAABgAGAFkBAAB0BQAAAAA=&#10;">
              <v:fill on="f" focussize="0,0"/>
              <v:stroke on="f" weight="1.25pt"/>
              <v:imagedata o:title=""/>
              <o:lock v:ext="edit" aspectratio="f"/>
              <v:textbox inset="0mm,0mm,0mm,0mm" style="mso-fit-shape-to-text:t;">
                <w:txbxContent>
                  <w:p>
                    <w:pPr>
                      <w:pStyle w:val="5"/>
                      <w:ind w:right="280" w:firstLine="360"/>
                      <w:jc w:val="right"/>
                    </w:pPr>
                    <w:r>
                      <w:rPr>
                        <w:rStyle w:val="12"/>
                        <w:rFonts w:hint="eastAsia" w:ascii="宋体" w:hAnsi="宋体"/>
                        <w:sz w:val="28"/>
                        <w:szCs w:val="28"/>
                      </w:rPr>
                      <w:t>—</w:t>
                    </w:r>
                    <w:r>
                      <w:rPr>
                        <w:rFonts w:ascii="宋体" w:hAnsi="宋体"/>
                        <w:sz w:val="28"/>
                        <w:szCs w:val="28"/>
                      </w:rPr>
                      <w:fldChar w:fldCharType="begin"/>
                    </w:r>
                    <w:r>
                      <w:rPr>
                        <w:rStyle w:val="12"/>
                        <w:rFonts w:ascii="宋体" w:hAnsi="宋体"/>
                        <w:sz w:val="28"/>
                        <w:szCs w:val="28"/>
                      </w:rPr>
                      <w:instrText xml:space="preserve"> PAGE </w:instrText>
                    </w:r>
                    <w:r>
                      <w:rPr>
                        <w:rFonts w:ascii="宋体" w:hAnsi="宋体"/>
                        <w:sz w:val="28"/>
                        <w:szCs w:val="28"/>
                      </w:rPr>
                      <w:fldChar w:fldCharType="separate"/>
                    </w:r>
                    <w:r>
                      <w:rPr>
                        <w:rStyle w:val="12"/>
                        <w:rFonts w:ascii="宋体" w:hAnsi="宋体"/>
                        <w:sz w:val="28"/>
                        <w:szCs w:val="28"/>
                      </w:rPr>
                      <w:t>6</w:t>
                    </w:r>
                    <w:r>
                      <w:rPr>
                        <w:rFonts w:ascii="宋体" w:hAnsi="宋体"/>
                        <w:sz w:val="28"/>
                        <w:szCs w:val="28"/>
                      </w:rPr>
                      <w:fldChar w:fldCharType="end"/>
                    </w:r>
                    <w:r>
                      <w:rPr>
                        <w:rStyle w:val="12"/>
                        <w:rFonts w:hint="eastAsia" w:ascii="宋体" w:hAns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280" w:firstLineChars="100"/>
      <w:rPr>
        <w:rFonts w:ascii="宋体" w:hAnsi="宋体"/>
        <w:sz w:val="28"/>
        <w:szCs w:val="28"/>
      </w:rPr>
    </w:pPr>
    <w:r>
      <w:rPr>
        <w:rStyle w:val="12"/>
        <w:rFonts w:hint="eastAsia" w:ascii="宋体" w:hAnsi="宋体"/>
        <w:sz w:val="28"/>
        <w:szCs w:val="28"/>
      </w:rPr>
      <w:t>—</w:t>
    </w:r>
    <w:r>
      <w:rPr>
        <w:rFonts w:ascii="宋体" w:hAnsi="宋体"/>
        <w:sz w:val="28"/>
        <w:szCs w:val="28"/>
      </w:rPr>
      <w:fldChar w:fldCharType="begin"/>
    </w:r>
    <w:r>
      <w:rPr>
        <w:rStyle w:val="12"/>
        <w:rFonts w:ascii="宋体" w:hAnsi="宋体"/>
        <w:sz w:val="28"/>
        <w:szCs w:val="28"/>
      </w:rPr>
      <w:instrText xml:space="preserve"> PAGE </w:instrText>
    </w:r>
    <w:r>
      <w:rPr>
        <w:rFonts w:ascii="宋体" w:hAnsi="宋体"/>
        <w:sz w:val="28"/>
        <w:szCs w:val="28"/>
      </w:rPr>
      <w:fldChar w:fldCharType="separate"/>
    </w:r>
    <w:r>
      <w:rPr>
        <w:rStyle w:val="12"/>
        <w:rFonts w:ascii="宋体" w:hAnsi="宋体"/>
        <w:sz w:val="28"/>
        <w:szCs w:val="28"/>
      </w:rPr>
      <w:t>2</w:t>
    </w:r>
    <w:r>
      <w:rPr>
        <w:rFonts w:ascii="宋体" w:hAnsi="宋体"/>
        <w:sz w:val="28"/>
        <w:szCs w:val="28"/>
      </w:rPr>
      <w:fldChar w:fldCharType="end"/>
    </w:r>
    <w:r>
      <w:rPr>
        <w:rStyle w:val="12"/>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xNWY0MTVhZDI1MGMwNWViMDczN2M0ZWU5NmIwMTEifQ=="/>
  </w:docVars>
  <w:rsids>
    <w:rsidRoot w:val="00172A27"/>
    <w:rsid w:val="00025999"/>
    <w:rsid w:val="00034614"/>
    <w:rsid w:val="00037C7A"/>
    <w:rsid w:val="000764C6"/>
    <w:rsid w:val="00080C74"/>
    <w:rsid w:val="00083A25"/>
    <w:rsid w:val="000B0731"/>
    <w:rsid w:val="000C4AE2"/>
    <w:rsid w:val="0014543A"/>
    <w:rsid w:val="00153303"/>
    <w:rsid w:val="00153671"/>
    <w:rsid w:val="001633B3"/>
    <w:rsid w:val="001704F9"/>
    <w:rsid w:val="00172A27"/>
    <w:rsid w:val="00184FD5"/>
    <w:rsid w:val="001F6F2F"/>
    <w:rsid w:val="002001EF"/>
    <w:rsid w:val="00206441"/>
    <w:rsid w:val="002862C6"/>
    <w:rsid w:val="00290F4B"/>
    <w:rsid w:val="002B4443"/>
    <w:rsid w:val="002D1202"/>
    <w:rsid w:val="00327295"/>
    <w:rsid w:val="003674D4"/>
    <w:rsid w:val="003A55F2"/>
    <w:rsid w:val="003E2F6B"/>
    <w:rsid w:val="003F38A7"/>
    <w:rsid w:val="003F7E05"/>
    <w:rsid w:val="00414F0B"/>
    <w:rsid w:val="00422E20"/>
    <w:rsid w:val="00423E64"/>
    <w:rsid w:val="00440598"/>
    <w:rsid w:val="004631A1"/>
    <w:rsid w:val="004952E3"/>
    <w:rsid w:val="004A1A20"/>
    <w:rsid w:val="004A37E9"/>
    <w:rsid w:val="004B238D"/>
    <w:rsid w:val="004C0683"/>
    <w:rsid w:val="004C3294"/>
    <w:rsid w:val="004E3CE4"/>
    <w:rsid w:val="00506544"/>
    <w:rsid w:val="00537B20"/>
    <w:rsid w:val="00566F57"/>
    <w:rsid w:val="00572188"/>
    <w:rsid w:val="005B4B5B"/>
    <w:rsid w:val="005C4EB2"/>
    <w:rsid w:val="005C7CCA"/>
    <w:rsid w:val="005E6554"/>
    <w:rsid w:val="00601325"/>
    <w:rsid w:val="0062001D"/>
    <w:rsid w:val="00630977"/>
    <w:rsid w:val="00647632"/>
    <w:rsid w:val="006527A6"/>
    <w:rsid w:val="00681BFA"/>
    <w:rsid w:val="006D5BC6"/>
    <w:rsid w:val="007039FE"/>
    <w:rsid w:val="00724687"/>
    <w:rsid w:val="00726174"/>
    <w:rsid w:val="00736FA5"/>
    <w:rsid w:val="00755F55"/>
    <w:rsid w:val="00781723"/>
    <w:rsid w:val="007940F2"/>
    <w:rsid w:val="007A66D7"/>
    <w:rsid w:val="007B4CD3"/>
    <w:rsid w:val="007B6779"/>
    <w:rsid w:val="007C6FB3"/>
    <w:rsid w:val="00800793"/>
    <w:rsid w:val="0080797E"/>
    <w:rsid w:val="008267AF"/>
    <w:rsid w:val="00833870"/>
    <w:rsid w:val="0085520B"/>
    <w:rsid w:val="00855D45"/>
    <w:rsid w:val="00874AD9"/>
    <w:rsid w:val="00883BAF"/>
    <w:rsid w:val="00897FF8"/>
    <w:rsid w:val="00912994"/>
    <w:rsid w:val="00932625"/>
    <w:rsid w:val="00933D20"/>
    <w:rsid w:val="00951A29"/>
    <w:rsid w:val="00954C45"/>
    <w:rsid w:val="00954D7D"/>
    <w:rsid w:val="009B7871"/>
    <w:rsid w:val="009C5A0D"/>
    <w:rsid w:val="009F6081"/>
    <w:rsid w:val="00A01A6E"/>
    <w:rsid w:val="00A02EC6"/>
    <w:rsid w:val="00A05EFE"/>
    <w:rsid w:val="00A133D1"/>
    <w:rsid w:val="00A16EB9"/>
    <w:rsid w:val="00A211B1"/>
    <w:rsid w:val="00A25E3A"/>
    <w:rsid w:val="00A261A8"/>
    <w:rsid w:val="00A7350E"/>
    <w:rsid w:val="00A73AD9"/>
    <w:rsid w:val="00A76E89"/>
    <w:rsid w:val="00A867F1"/>
    <w:rsid w:val="00A90A98"/>
    <w:rsid w:val="00A94758"/>
    <w:rsid w:val="00AA099B"/>
    <w:rsid w:val="00AB249A"/>
    <w:rsid w:val="00AB2D94"/>
    <w:rsid w:val="00AC59AF"/>
    <w:rsid w:val="00AD2E80"/>
    <w:rsid w:val="00AD3986"/>
    <w:rsid w:val="00AF59D2"/>
    <w:rsid w:val="00AF662B"/>
    <w:rsid w:val="00B173EA"/>
    <w:rsid w:val="00B25D29"/>
    <w:rsid w:val="00B63868"/>
    <w:rsid w:val="00BA0CC5"/>
    <w:rsid w:val="00BA35FF"/>
    <w:rsid w:val="00BA49A5"/>
    <w:rsid w:val="00BD1A7A"/>
    <w:rsid w:val="00C057E1"/>
    <w:rsid w:val="00C45712"/>
    <w:rsid w:val="00C461B1"/>
    <w:rsid w:val="00C502E6"/>
    <w:rsid w:val="00CA00AA"/>
    <w:rsid w:val="00CB1E1C"/>
    <w:rsid w:val="00CD305F"/>
    <w:rsid w:val="00CD5B2D"/>
    <w:rsid w:val="00CF68EA"/>
    <w:rsid w:val="00D472E6"/>
    <w:rsid w:val="00D51002"/>
    <w:rsid w:val="00D54532"/>
    <w:rsid w:val="00D6000D"/>
    <w:rsid w:val="00D6241C"/>
    <w:rsid w:val="00D64B55"/>
    <w:rsid w:val="00D65319"/>
    <w:rsid w:val="00D75C8F"/>
    <w:rsid w:val="00D83031"/>
    <w:rsid w:val="00DA1AE3"/>
    <w:rsid w:val="00DB4042"/>
    <w:rsid w:val="00DE2ACC"/>
    <w:rsid w:val="00DF3218"/>
    <w:rsid w:val="00DF6AC9"/>
    <w:rsid w:val="00E07E5B"/>
    <w:rsid w:val="00E12FB9"/>
    <w:rsid w:val="00E33A41"/>
    <w:rsid w:val="00E40D8D"/>
    <w:rsid w:val="00E6144F"/>
    <w:rsid w:val="00E752E5"/>
    <w:rsid w:val="00E8260A"/>
    <w:rsid w:val="00E83486"/>
    <w:rsid w:val="00EA217D"/>
    <w:rsid w:val="00EC0BFA"/>
    <w:rsid w:val="00EC552C"/>
    <w:rsid w:val="00ED0A8C"/>
    <w:rsid w:val="00F00837"/>
    <w:rsid w:val="00F06CDC"/>
    <w:rsid w:val="00F10AC1"/>
    <w:rsid w:val="00F15BE4"/>
    <w:rsid w:val="00F24A6F"/>
    <w:rsid w:val="00F72E34"/>
    <w:rsid w:val="00F73DBC"/>
    <w:rsid w:val="00F90582"/>
    <w:rsid w:val="00FA6159"/>
    <w:rsid w:val="00FB0CAC"/>
    <w:rsid w:val="00FC06EE"/>
    <w:rsid w:val="00FC18E5"/>
    <w:rsid w:val="00FC623E"/>
    <w:rsid w:val="00FC6E95"/>
    <w:rsid w:val="00FF7311"/>
    <w:rsid w:val="03787434"/>
    <w:rsid w:val="03E727F4"/>
    <w:rsid w:val="05CD13A3"/>
    <w:rsid w:val="08CE7CA0"/>
    <w:rsid w:val="1077634E"/>
    <w:rsid w:val="16ED75BF"/>
    <w:rsid w:val="17980F71"/>
    <w:rsid w:val="1BFB31A6"/>
    <w:rsid w:val="1C7F77CD"/>
    <w:rsid w:val="1C9122B3"/>
    <w:rsid w:val="204C60AC"/>
    <w:rsid w:val="235324F1"/>
    <w:rsid w:val="2CE771EE"/>
    <w:rsid w:val="2DBD036B"/>
    <w:rsid w:val="33AC0E17"/>
    <w:rsid w:val="3531609F"/>
    <w:rsid w:val="3E8F0C50"/>
    <w:rsid w:val="419C5BF7"/>
    <w:rsid w:val="42965729"/>
    <w:rsid w:val="4A752E4B"/>
    <w:rsid w:val="4A7F027D"/>
    <w:rsid w:val="4BD1794E"/>
    <w:rsid w:val="4BE5530D"/>
    <w:rsid w:val="5C9312A3"/>
    <w:rsid w:val="699D5A58"/>
    <w:rsid w:val="69B1758F"/>
    <w:rsid w:val="6C400AD3"/>
    <w:rsid w:val="6DB23959"/>
    <w:rsid w:val="6E3D3CC8"/>
    <w:rsid w:val="793B3FCB"/>
    <w:rsid w:val="7BB26B23"/>
    <w:rsid w:val="7BBC2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link w:val="13"/>
    <w:qFormat/>
    <w:uiPriority w:val="0"/>
    <w:pPr>
      <w:spacing w:after="120"/>
    </w:pPr>
  </w:style>
  <w:style w:type="paragraph" w:styleId="3">
    <w:name w:val="Body Text Indent"/>
    <w:basedOn w:val="1"/>
    <w:semiHidden/>
    <w:unhideWhenUsed/>
    <w:qFormat/>
    <w:uiPriority w:val="99"/>
    <w:pPr>
      <w:spacing w:after="120"/>
      <w:ind w:left="420" w:leftChars="200"/>
    </w:pPr>
  </w:style>
  <w:style w:type="paragraph" w:styleId="4">
    <w:name w:val="Balloon Text"/>
    <w:basedOn w:val="1"/>
    <w:link w:val="14"/>
    <w:semiHidden/>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3"/>
    <w:semiHidden/>
    <w:unhideWhenUsed/>
    <w:qFormat/>
    <w:uiPriority w:val="99"/>
    <w:pPr>
      <w:ind w:firstLine="420" w:firstLineChars="200"/>
    </w:pPr>
  </w:style>
  <w:style w:type="character" w:styleId="11">
    <w:name w:val="Strong"/>
    <w:basedOn w:val="10"/>
    <w:qFormat/>
    <w:uiPriority w:val="22"/>
    <w:rPr>
      <w:b/>
      <w:bCs/>
    </w:rPr>
  </w:style>
  <w:style w:type="character" w:styleId="12">
    <w:name w:val="page number"/>
    <w:basedOn w:val="10"/>
    <w:qFormat/>
    <w:uiPriority w:val="0"/>
  </w:style>
  <w:style w:type="character" w:customStyle="1" w:styleId="13">
    <w:name w:val="正文文本 字符"/>
    <w:link w:val="2"/>
    <w:qFormat/>
    <w:uiPriority w:val="0"/>
    <w:rPr>
      <w:kern w:val="2"/>
      <w:sz w:val="21"/>
      <w:szCs w:val="24"/>
    </w:rPr>
  </w:style>
  <w:style w:type="character" w:customStyle="1" w:styleId="14">
    <w:name w:val="批注框文本 字符"/>
    <w:link w:val="4"/>
    <w:semiHidden/>
    <w:qFormat/>
    <w:uiPriority w:val="99"/>
    <w:rPr>
      <w:kern w:val="2"/>
      <w:sz w:val="18"/>
      <w:szCs w:val="18"/>
    </w:rPr>
  </w:style>
  <w:style w:type="character" w:customStyle="1" w:styleId="15">
    <w:name w:val="页脚 字符"/>
    <w:link w:val="5"/>
    <w:qFormat/>
    <w:uiPriority w:val="99"/>
    <w:rPr>
      <w:kern w:val="2"/>
      <w:sz w:val="18"/>
      <w:szCs w:val="18"/>
    </w:rPr>
  </w:style>
  <w:style w:type="character" w:customStyle="1" w:styleId="16">
    <w:name w:val="页眉 字符"/>
    <w:link w:val="6"/>
    <w:qFormat/>
    <w:uiPriority w:val="99"/>
    <w:rPr>
      <w:kern w:val="2"/>
      <w:sz w:val="18"/>
      <w:szCs w:val="18"/>
    </w:rPr>
  </w:style>
  <w:style w:type="paragraph" w:customStyle="1" w:styleId="17">
    <w:name w:val="表格内容"/>
    <w:basedOn w:val="2"/>
    <w:qFormat/>
    <w:uiPriority w:val="0"/>
    <w:pPr>
      <w:suppressLineNumbers/>
      <w:suppressAutoHyphens/>
      <w:jc w:val="left"/>
    </w:pPr>
    <w:rPr>
      <w:rFonts w:cs="Tahoma"/>
      <w:kern w:val="0"/>
      <w:sz w:val="24"/>
    </w:rPr>
  </w:style>
  <w:style w:type="paragraph" w:customStyle="1" w:styleId="18">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9">
    <w:name w:val="列出段落"/>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3868</Words>
  <Characters>4119</Characters>
  <Lines>30</Lines>
  <Paragraphs>8</Paragraphs>
  <TotalTime>17</TotalTime>
  <ScaleCrop>false</ScaleCrop>
  <LinksUpToDate>false</LinksUpToDate>
  <CharactersWithSpaces>4124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2021-05-14T01:57:00Z</dcterms:created>
  <dc:creator>Administrator</dc:creator>
  <cp:lastModifiedBy>18673684787</cp:lastModifiedBy>
  <cp:lastPrinted>2022-05-09T03:37:00Z</cp:lastPrinted>
  <dcterms:modified xsi:type="dcterms:W3CDTF">2023-09-01T03:23:33Z</dcterms:modified>
  <dc:title>湖南省财政厅发文（指标、函）稿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36C7272982004721A606BB69213F2D63_13</vt:lpwstr>
  </property>
</Properties>
</file>