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中共桃源县委办公室</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中共桃源县委办公室</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中共桃源县委办公室</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（一）（一）负责组织、协调县委与县人大、县政府、县政协、县人武部的重大活动。</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（二）负责县委文件和县委领导同志文稿的起草、校核、印发工作。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（三）围绕县委工作部署，对涉及全县经济建设、社会发展、党的自身建设等全局性的重大问题进行调查研究，为县委科学决策提出建议、预案和依据。</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（四）及时、准确、全面地向市委、县委报送信息，反映有关动态。</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（五）负责省委、市委、县委重大方针政策、重要工作部署和领导同志重要批示、批件贯彻落实情况的督促检查工作，组织办理与本办有关的人大代表有关建议、政协委员有关提案。</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（六）负责县委重要会议的会务工作和县委领导同志参加重大活动的组织安排，负责党和国家领导及省市领导来桃视察期间的接待工作。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（七）负责县委值班工作，及时向县委领导同志报告重要情况，协助处理县直部门和各乡镇向县委反映的重要问题。</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（八）负责全县党委系统办公规范化、自动化建设的规划和业务指导。</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（九）负责文书处理、档案的管理、利用和开发。</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（十）负责全县党政系统通信和密码管理。</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（十一）负责上级、本级文件和党、政、军领导机关机要件的传阅、传递和分发工作。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（十二）负责全县保密工作的规划、宣传教育、指导协调、监督管理和失泄密案件查处工作。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（十三）负责开展民情调查活动，并对民情调查需要落实的问题进行督查。</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（十四）负责县委机关大院行政后勤管理、安全保卫和联合工会及本办的财务管理工作。</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（十五）与县政府办公室共同管理信访局。</w:t>
      </w:r>
    </w:p>
    <w:p>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（十六）办理县委和县委领导同志交办的其他工作事项。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（一）内设机构设置。中共桃源县委办公室内设机构包括：县委值班室、后勤组</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督查室（中共桃源县委督查室）、</w:t>
      </w:r>
      <w:r>
        <w:rPr>
          <w:rFonts w:hint="eastAsia" w:ascii="Times New Roman" w:hAnsi="Times New Roman" w:eastAsia="仿宋_GB2312" w:cs="仿宋_GB2312"/>
          <w:bCs/>
          <w:kern w:val="0"/>
          <w:sz w:val="32"/>
          <w:szCs w:val="32"/>
          <w:lang w:val="en-US" w:eastAsia="zh-CN"/>
        </w:rPr>
        <w:t>国安办</w:t>
      </w:r>
      <w:r>
        <w:rPr>
          <w:rFonts w:hint="eastAsia" w:ascii="Times New Roman" w:hAnsi="Times New Roman" w:eastAsia="仿宋_GB2312" w:cs="仿宋_GB2312"/>
          <w:bCs/>
          <w:kern w:val="0"/>
          <w:sz w:val="32"/>
          <w:szCs w:val="32"/>
        </w:rPr>
        <w:t>、政工人事组、文秘和档案业务指导室、外事和港澳台事务组（行政审批服务办公室）、机要保密室、综调组、信息组、改革事务组，不含下属单位或机构。</w:t>
      </w:r>
    </w:p>
    <w:p>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（二）决算单位构成。中共桃源县委办公室202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年部门决算汇总公开单位构成包括：中共桃源县委办公室本级</w:t>
      </w:r>
      <w:r>
        <w:rPr>
          <w:rFonts w:hint="eastAsia" w:ascii="Times New Roman" w:hAnsi="Times New Roman" w:eastAsia="仿宋_GB2312" w:cs="仿宋_GB2312"/>
          <w:bCs/>
          <w:kern w:val="0"/>
          <w:sz w:val="32"/>
          <w:szCs w:val="32"/>
          <w:lang w:eastAsia="zh-CN"/>
        </w:rPr>
        <w:t>。</w:t>
      </w:r>
    </w:p>
    <w:p>
      <w:pPr>
        <w:widowControl/>
        <w:spacing w:line="600" w:lineRule="exact"/>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 xml:space="preserve">      中共桃源县委办公室为独立核算的行政单位，属一级预算单位。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379"/>
        <w:gridCol w:w="560"/>
        <w:gridCol w:w="2337"/>
        <w:gridCol w:w="2515"/>
        <w:gridCol w:w="2515"/>
        <w:gridCol w:w="1314"/>
        <w:gridCol w:w="1314"/>
        <w:gridCol w:w="1314"/>
        <w:gridCol w:w="1314"/>
        <w:gridCol w:w="186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1"/>
              <w:gridCol w:w="1257"/>
              <w:gridCol w:w="1394"/>
              <w:gridCol w:w="4109"/>
              <w:gridCol w:w="1358"/>
              <w:gridCol w:w="529"/>
              <w:gridCol w:w="871"/>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61"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1257"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10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887"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9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26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25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8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9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26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部门：中共桃源县委办公室</w:t>
                  </w:r>
                </w:p>
              </w:tc>
              <w:tc>
                <w:tcPr>
                  <w:tcW w:w="1257"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0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887"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9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9" w:type="dxa"/>
                <w:trHeight w:val="448" w:hRule="atLeast"/>
              </w:trPr>
              <w:tc>
                <w:tcPr>
                  <w:tcW w:w="691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867"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62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924.95</w:t>
                  </w: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822.46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八、社会保障和就业支出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九、卫生健康支出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十九、住房保障支出</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948.91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19" w:type="dxa"/>
                <w:trHeight w:val="62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23.96</w:t>
                  </w:r>
                </w:p>
              </w:tc>
              <w:tc>
                <w:tcPr>
                  <w:tcW w:w="4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19" w:type="dxa"/>
                <w:trHeight w:val="448" w:hRule="atLeast"/>
              </w:trPr>
              <w:tc>
                <w:tcPr>
                  <w:tcW w:w="42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2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948.91</w:t>
                  </w:r>
                </w:p>
              </w:tc>
              <w:tc>
                <w:tcPr>
                  <w:tcW w:w="41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3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r>
                    <w:rPr>
                      <w:rFonts w:hint="eastAsia" w:ascii="宋体" w:hAnsi="宋体" w:eastAsia="宋体" w:cs="宋体"/>
                      <w:b/>
                      <w:i w:val="0"/>
                      <w:color w:val="000000"/>
                      <w:sz w:val="22"/>
                      <w:szCs w:val="22"/>
                      <w:u w:val="none"/>
                    </w:rPr>
                    <w:t>948.91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7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93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337"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hint="default" w:ascii="宋体" w:hAnsi="宋体" w:eastAsia="宋体" w:cs="宋体"/>
                <w:sz w:val="24"/>
                <w:szCs w:val="24"/>
                <w:lang w:val="en-US" w:eastAsia="zh-CN"/>
              </w:rPr>
            </w:pPr>
            <w:r>
              <w:rPr>
                <w:rFonts w:hint="eastAsia"/>
                <w:color w:val="000000"/>
                <w:sz w:val="20"/>
                <w:szCs w:val="20"/>
                <w:lang w:val="en-US" w:eastAsia="zh-CN"/>
              </w:rPr>
              <w:t>中共桃源县委办公室</w:t>
            </w:r>
          </w:p>
        </w:tc>
        <w:tc>
          <w:tcPr>
            <w:tcW w:w="2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1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27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251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25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31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8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3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33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2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3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3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1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1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2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2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251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3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3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3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8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27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924.95</w:t>
            </w:r>
            <w:r>
              <w:rPr>
                <w:rFonts w:hint="eastAsia"/>
              </w:rPr>
              <w:t>　</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924.95</w:t>
            </w: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798.50</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798.50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2010302</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20125</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港澳台事务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2012599</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其他港澳台事务支出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18.03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728.21</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728.21</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2013101</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561.63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561.63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2013102</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103.68</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103.68</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2013105</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21.90</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21.90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2013199</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41.00</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1.65</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1.65</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2013204</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公务员事务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1.65</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1.65</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0.61</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0.61</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2013699</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0.61</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0.61</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37.13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49.99</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49.99</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35.00</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2100409</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35.00</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35.00</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14.99</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14.99</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39"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33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251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1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5"/>
        <w:tblW w:w="15640" w:type="dxa"/>
        <w:tblInd w:w="93" w:type="dxa"/>
        <w:tblLayout w:type="fixed"/>
        <w:tblCellMar>
          <w:top w:w="0" w:type="dxa"/>
          <w:left w:w="108" w:type="dxa"/>
          <w:bottom w:w="0" w:type="dxa"/>
          <w:right w:w="108" w:type="dxa"/>
        </w:tblCellMar>
      </w:tblPr>
      <w:tblGrid>
        <w:gridCol w:w="1236"/>
        <w:gridCol w:w="263"/>
        <w:gridCol w:w="2096"/>
        <w:gridCol w:w="436"/>
        <w:gridCol w:w="226"/>
        <w:gridCol w:w="852"/>
        <w:gridCol w:w="496"/>
        <w:gridCol w:w="369"/>
        <w:gridCol w:w="1666"/>
        <w:gridCol w:w="880"/>
        <w:gridCol w:w="632"/>
        <w:gridCol w:w="55"/>
        <w:gridCol w:w="380"/>
        <w:gridCol w:w="1503"/>
        <w:gridCol w:w="70"/>
        <w:gridCol w:w="1394"/>
        <w:gridCol w:w="342"/>
        <w:gridCol w:w="1052"/>
        <w:gridCol w:w="1573"/>
        <w:gridCol w:w="119"/>
      </w:tblGrid>
      <w:tr>
        <w:tblPrEx>
          <w:tblCellMar>
            <w:top w:w="0" w:type="dxa"/>
            <w:left w:w="108" w:type="dxa"/>
            <w:bottom w:w="0" w:type="dxa"/>
            <w:right w:w="108" w:type="dxa"/>
          </w:tblCellMar>
        </w:tblPrEx>
        <w:trPr>
          <w:trHeight w:val="807" w:hRule="atLeast"/>
        </w:trPr>
        <w:tc>
          <w:tcPr>
            <w:tcW w:w="15640"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8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58"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7"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8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257"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6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8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0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758"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5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425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6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83"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06"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4257"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948.91</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677.05</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271.87</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822.46</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585.60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236.87</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2010302</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20125</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港澳台事务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18.03</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18.03</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2012599</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其他港澳台事务支出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18.03</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18.03</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752.18</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585.60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166.58</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2013101</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585.60</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585.60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2013102</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103.68</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103.68</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2013105</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21.90</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21.90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2013199</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41.00</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2013204</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公务员事务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1.65</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0.61</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0.61</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2013699</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0.61</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0.61</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37.13</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37.13</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37.13</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37.13</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37.13</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37.13</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49.99</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2100409</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14.99</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75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1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6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39.33</w:t>
            </w:r>
          </w:p>
        </w:tc>
        <w:tc>
          <w:tcPr>
            <w:tcW w:w="1567"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88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6"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64" w:hRule="atLeast"/>
        </w:trPr>
        <w:tc>
          <w:tcPr>
            <w:tcW w:w="15640" w:type="dxa"/>
            <w:gridSpan w:val="2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
          <w:wAfter w:w="119" w:type="dxa"/>
          <w:trHeight w:val="285" w:hRule="atLeast"/>
        </w:trPr>
        <w:tc>
          <w:tcPr>
            <w:tcW w:w="3595" w:type="dxa"/>
            <w:gridSpan w:val="3"/>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4"/>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19" w:type="dxa"/>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After w:val="1"/>
          <w:wAfter w:w="119" w:type="dxa"/>
          <w:trHeight w:val="199" w:hRule="atLeast"/>
        </w:trPr>
        <w:tc>
          <w:tcPr>
            <w:tcW w:w="359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1"/>
          <w:wAfter w:w="119" w:type="dxa"/>
          <w:trHeight w:val="300" w:hRule="atLeast"/>
        </w:trPr>
        <w:tc>
          <w:tcPr>
            <w:tcW w:w="359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部门：中共桃源县委办公室</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5"/>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19" w:type="dxa"/>
          <w:trHeight w:val="402" w:hRule="atLeast"/>
        </w:trPr>
        <w:tc>
          <w:tcPr>
            <w:tcW w:w="5109"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After w:val="1"/>
          <w:wAfter w:w="119" w:type="dxa"/>
          <w:trHeight w:val="630"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924.95</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822.46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822.46</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sz w:val="22"/>
                <w:szCs w:val="22"/>
                <w:u w:val="none"/>
              </w:rPr>
              <w:t>八、社会保障和就业支出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37.13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37.13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sz w:val="22"/>
                <w:szCs w:val="22"/>
                <w:u w:val="none"/>
              </w:rPr>
              <w:t>九、卫生健康支出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49.99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49.99</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sz w:val="22"/>
                <w:szCs w:val="22"/>
                <w:u w:val="none"/>
              </w:rPr>
              <w:t>十九、住房保障支出</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39.33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39.33</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924.95</w:t>
            </w: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948.91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948.91</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23.96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23.96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119" w:type="dxa"/>
          <w:trHeight w:val="402" w:hRule="atLeast"/>
        </w:trPr>
        <w:tc>
          <w:tcPr>
            <w:tcW w:w="3595"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948.91　</w:t>
            </w:r>
          </w:p>
        </w:tc>
        <w:tc>
          <w:tcPr>
            <w:tcW w:w="3411"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948.91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948.91</w:t>
            </w:r>
            <w:r>
              <w:rPr>
                <w:rFonts w:hint="eastAsia" w:ascii="宋体" w:hAnsi="宋体" w:eastAsia="宋体" w:cs="宋体"/>
                <w:kern w:val="0"/>
                <w:sz w:val="22"/>
              </w:rPr>
              <w:t>　</w:t>
            </w:r>
          </w:p>
        </w:tc>
        <w:tc>
          <w:tcPr>
            <w:tcW w:w="13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gridAfter w:val="1"/>
          <w:wAfter w:w="119" w:type="dxa"/>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中共桃源县委办公室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948.91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677.05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271.87</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822.46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585.60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236.87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港澳台事务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其他港澳台事务支出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党委办公厅（室）及相关机构事务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752.18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585.60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166.58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585.60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585.60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103.68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103.68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专项业务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21.90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其他党委办公厅（室）及相关机构事务支出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公务员事务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49.99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14.99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39.33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360" w:type="dxa"/>
        <w:tblInd w:w="0" w:type="dxa"/>
        <w:tblLayout w:type="fixed"/>
        <w:tblCellMar>
          <w:top w:w="0" w:type="dxa"/>
          <w:left w:w="108" w:type="dxa"/>
          <w:bottom w:w="0" w:type="dxa"/>
          <w:right w:w="108" w:type="dxa"/>
        </w:tblCellMar>
      </w:tblPr>
      <w:tblGrid>
        <w:gridCol w:w="832"/>
        <w:gridCol w:w="171"/>
        <w:gridCol w:w="236"/>
        <w:gridCol w:w="1406"/>
        <w:gridCol w:w="268"/>
        <w:gridCol w:w="1353"/>
        <w:gridCol w:w="498"/>
        <w:gridCol w:w="268"/>
        <w:gridCol w:w="319"/>
        <w:gridCol w:w="881"/>
        <w:gridCol w:w="651"/>
        <w:gridCol w:w="268"/>
        <w:gridCol w:w="1415"/>
        <w:gridCol w:w="436"/>
        <w:gridCol w:w="268"/>
        <w:gridCol w:w="267"/>
        <w:gridCol w:w="855"/>
        <w:gridCol w:w="729"/>
        <w:gridCol w:w="268"/>
        <w:gridCol w:w="1851"/>
        <w:gridCol w:w="268"/>
        <w:gridCol w:w="1117"/>
        <w:gridCol w:w="721"/>
        <w:gridCol w:w="14"/>
      </w:tblGrid>
      <w:tr>
        <w:tblPrEx>
          <w:tblCellMar>
            <w:top w:w="0" w:type="dxa"/>
            <w:left w:w="108" w:type="dxa"/>
            <w:bottom w:w="0" w:type="dxa"/>
            <w:right w:w="108" w:type="dxa"/>
          </w:tblCellMar>
        </w:tblPrEx>
        <w:trPr>
          <w:gridAfter w:val="1"/>
          <w:wAfter w:w="14" w:type="dxa"/>
          <w:trHeight w:val="113" w:hRule="atLeast"/>
        </w:trPr>
        <w:tc>
          <w:tcPr>
            <w:tcW w:w="15346" w:type="dxa"/>
            <w:gridSpan w:val="23"/>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中共桃源县委办公室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gridAfter w:val="1"/>
          <w:wAfter w:w="14" w:type="dxa"/>
          <w:trHeight w:val="113" w:hRule="atLeast"/>
        </w:trPr>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3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3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2"/>
                <w:szCs w:val="22"/>
                <w:lang w:val="en-US" w:eastAsia="zh-CN"/>
              </w:rPr>
              <w:t>478.03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146.27</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135.21</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82.93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110.25</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49.26</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37.13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14.99</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3.70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39.33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5.23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52.75</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0.83</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41.52</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34.97</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11.23</w:t>
            </w: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83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34"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5"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0"/>
                <w:szCs w:val="20"/>
              </w:rPr>
            </w:pPr>
          </w:p>
        </w:tc>
        <w:tc>
          <w:tcPr>
            <w:tcW w:w="88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71"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33"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gridAfter w:val="1"/>
          <w:wAfter w:w="14" w:type="dxa"/>
          <w:trHeight w:val="284" w:hRule="exact"/>
        </w:trPr>
        <w:tc>
          <w:tcPr>
            <w:tcW w:w="426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530.78</w:t>
            </w:r>
          </w:p>
        </w:tc>
        <w:tc>
          <w:tcPr>
            <w:tcW w:w="9274"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2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146.27</w:t>
            </w:r>
          </w:p>
        </w:tc>
      </w:tr>
      <w:tr>
        <w:tblPrEx>
          <w:tblCellMar>
            <w:top w:w="0" w:type="dxa"/>
            <w:left w:w="108" w:type="dxa"/>
            <w:bottom w:w="0" w:type="dxa"/>
            <w:right w:w="108" w:type="dxa"/>
          </w:tblCellMar>
        </w:tblPrEx>
        <w:trPr>
          <w:gridAfter w:val="1"/>
          <w:wAfter w:w="14" w:type="dxa"/>
          <w:trHeight w:val="284" w:hRule="exact"/>
        </w:trPr>
        <w:tc>
          <w:tcPr>
            <w:tcW w:w="15346" w:type="dxa"/>
            <w:gridSpan w:val="2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90" w:hRule="atLeast"/>
        </w:trPr>
        <w:tc>
          <w:tcPr>
            <w:tcW w:w="15360" w:type="dxa"/>
            <w:gridSpan w:val="2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74"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3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690" w:hRule="atLeast"/>
        </w:trPr>
        <w:tc>
          <w:tcPr>
            <w:tcW w:w="1003"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674"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83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9"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8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409"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25" w:hRule="atLeast"/>
        </w:trPr>
        <w:tc>
          <w:tcPr>
            <w:tcW w:w="15360" w:type="dxa"/>
            <w:gridSpan w:val="2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82" w:type="dxa"/>
            <w:gridSpan w:val="3"/>
            <w:tcBorders>
              <w:top w:val="nil"/>
              <w:left w:val="nil"/>
              <w:bottom w:val="nil"/>
              <w:right w:val="nil"/>
            </w:tcBorders>
            <w:shd w:val="clear" w:color="auto" w:fill="FFFFFF"/>
            <w:noWrap/>
            <w:vAlign w:val="center"/>
          </w:tcPr>
          <w:p>
            <w:pP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部门：中共桃源县委办公室</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bookmarkStart w:id="3" w:name="_GoBack" w:colFirst="0" w:colLast="11"/>
            <w:r>
              <w:rPr>
                <w:rFonts w:hint="eastAsia" w:ascii="宋体" w:hAnsi="宋体" w:eastAsia="宋体" w:cs="宋体"/>
                <w:i w:val="0"/>
                <w:color w:val="000000"/>
                <w:sz w:val="22"/>
                <w:szCs w:val="22"/>
                <w:u w:val="none"/>
                <w:lang w:val="en-US" w:eastAsia="zh-CN"/>
              </w:rPr>
              <w:t>15.56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10.56</w:t>
            </w:r>
          </w:p>
        </w:tc>
      </w:tr>
      <w:bookmark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948.91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30.98</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%，主要是因为厉行节约，减少支出。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924.95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924.95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948.91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677.05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71.35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271.87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28.65</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948.91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426</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30.98</w:t>
      </w:r>
      <w:r>
        <w:rPr>
          <w:rFonts w:hint="eastAsia" w:ascii="Times New Roman" w:hAnsi="Times New Roman" w:eastAsia="仿宋_GB2312"/>
          <w:sz w:val="32"/>
          <w:szCs w:val="32"/>
        </w:rPr>
        <w:t>%，主要是因为厉行节约，减少支出。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948.91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402.04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29.76</w:t>
      </w:r>
      <w:r>
        <w:rPr>
          <w:rFonts w:hint="eastAsia" w:ascii="Times New Roman" w:hAnsi="Times New Roman" w:eastAsia="仿宋_GB2312"/>
          <w:sz w:val="32"/>
          <w:szCs w:val="32"/>
        </w:rPr>
        <w:t>%，主要是因为厉行节约，减少支出。</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948.91</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822.46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86.67</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37.13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3.91</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49.99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5.27</w:t>
      </w:r>
      <w:r>
        <w:rPr>
          <w:rFonts w:hint="eastAsia" w:ascii="Times New Roman" w:hAnsi="Times New Roman" w:eastAsia="仿宋_GB2312"/>
          <w:sz w:val="32"/>
          <w:szCs w:val="32"/>
        </w:rPr>
        <w:t>%；住房保障（类）支出</w:t>
      </w:r>
      <w:r>
        <w:rPr>
          <w:rFonts w:hint="eastAsia" w:ascii="Times New Roman" w:hAnsi="Times New Roman" w:eastAsia="仿宋_GB2312"/>
          <w:sz w:val="32"/>
          <w:szCs w:val="32"/>
          <w:lang w:val="en-US" w:eastAsia="zh-CN"/>
        </w:rPr>
        <w:t>39.33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4.15</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1237.65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948.91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76.67</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1、一般公共服务支出（类）政府办公厅（室）及相关机构事务（款）一般行政管理事务（项）。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万元，决算数大于年初预算数的主要原因是：新增一般行政管理事务项目。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2、一般公共服务支出（类）港澳台事务（款）其他港澳台事务支出（项）。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年初预算为20万元，支出决算为</w:t>
      </w:r>
      <w:r>
        <w:rPr>
          <w:rFonts w:hint="eastAsia" w:ascii="Times New Roman" w:hAnsi="Times New Roman" w:eastAsia="仿宋_GB2312"/>
          <w:sz w:val="32"/>
          <w:szCs w:val="32"/>
          <w:lang w:val="en-US" w:eastAsia="zh-CN"/>
        </w:rPr>
        <w:t>18.03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90.15</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于年初预算数的主要原因是：对台专项工作经费</w:t>
      </w:r>
      <w:r>
        <w:rPr>
          <w:rFonts w:hint="eastAsia" w:ascii="Times New Roman" w:hAnsi="Times New Roman" w:eastAsia="仿宋_GB2312"/>
          <w:sz w:val="32"/>
          <w:szCs w:val="32"/>
          <w:lang w:val="en-US" w:eastAsia="zh-CN"/>
        </w:rPr>
        <w:t>减少</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3、一般公共服务支出（类）党委办公厅（室）及相关机构事务（款）行政运行（项）。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1055.2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55.50</w:t>
      </w:r>
      <w:r>
        <w:rPr>
          <w:rFonts w:hint="eastAsia" w:ascii="Times New Roman" w:hAnsi="Times New Roman" w:eastAsia="仿宋_GB2312"/>
          <w:sz w:val="32"/>
          <w:szCs w:val="32"/>
        </w:rPr>
        <w:t>%，决算数小于年初预算数的主要原因是：厉行节约，减少行政开支。</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、一般公共服务支出（类）党委办公厅（室）及相关机构事务（款）一般行政管理事务（项）。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103.68</w:t>
      </w:r>
      <w:r>
        <w:rPr>
          <w:rFonts w:hint="eastAsia" w:ascii="Times New Roman" w:hAnsi="Times New Roman" w:eastAsia="仿宋_GB2312"/>
          <w:sz w:val="32"/>
          <w:szCs w:val="32"/>
        </w:rPr>
        <w:t>万元，决算数大于年初预算数的主要原因是：新增一般行政管理事务项目。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5、一般公共服务支出（类）党委办公厅（室）及相关机构事务（款）</w:t>
      </w:r>
      <w:r>
        <w:rPr>
          <w:rFonts w:hint="eastAsia" w:ascii="Times New Roman" w:hAnsi="Times New Roman" w:eastAsia="仿宋_GB2312"/>
          <w:sz w:val="32"/>
          <w:szCs w:val="32"/>
          <w:lang w:val="en-US" w:eastAsia="zh-CN"/>
        </w:rPr>
        <w:t>专项业务</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w:t>
      </w:r>
      <w:r>
        <w:rPr>
          <w:rFonts w:hint="eastAsia" w:ascii="Times New Roman" w:hAnsi="Times New Roman" w:eastAsia="仿宋_GB2312"/>
          <w:sz w:val="32"/>
          <w:szCs w:val="32"/>
          <w:lang w:val="en-US" w:eastAsia="zh-CN"/>
        </w:rPr>
        <w:t>21.9</w:t>
      </w:r>
      <w:r>
        <w:rPr>
          <w:rFonts w:hint="eastAsia" w:ascii="Times New Roman" w:hAnsi="Times New Roman" w:eastAsia="仿宋_GB2312"/>
          <w:sz w:val="32"/>
          <w:szCs w:val="32"/>
        </w:rPr>
        <w:t>万元，决算数大于年初预算数的主要原因是：新增一般行政管理事务项目。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、一般公共服务支出（类）党委办公厅（室）及相关机构事务（款）其他党委办公厅（室）及相关机构事务支出（项）。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严格按预算执行决算</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、一般公共服务支出（类）组织事务（款）</w:t>
      </w:r>
      <w:r>
        <w:rPr>
          <w:rFonts w:hint="eastAsia" w:ascii="Times New Roman" w:hAnsi="Times New Roman" w:eastAsia="仿宋_GB2312"/>
          <w:sz w:val="32"/>
          <w:szCs w:val="32"/>
          <w:lang w:val="en-US" w:eastAsia="zh-CN"/>
        </w:rPr>
        <w:t>公务员事务</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年初预算为0万元，支出决算为1.</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5万元，决算数大于年初预算数的主要原因是：新增一般行政管理事务项目。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、一般公共服务支出（类）其他共产党事务支出（款）其他共产党事务支出（项）。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年初预算为0万元，支出决算为0.6</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万元，决算数大于年初预算数的主要原因是：新增其他共产党事务支出项目。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、社会保障和就业支出（类）行政事业单位养老支出（款）机关事业单位基本养老保险缴费支出（项）。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37.13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%，决算数等于年初预算数的主要原因是：</w:t>
      </w:r>
      <w:r>
        <w:rPr>
          <w:rFonts w:hint="eastAsia" w:ascii="Times New Roman" w:hAnsi="Times New Roman" w:eastAsia="仿宋_GB2312"/>
          <w:sz w:val="32"/>
          <w:szCs w:val="32"/>
          <w:lang w:val="en-US" w:eastAsia="zh-CN"/>
        </w:rPr>
        <w:t>严格按预算执行决算</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10、卫生健康支出（类）</w:t>
      </w:r>
      <w:r>
        <w:rPr>
          <w:rFonts w:hint="eastAsia" w:ascii="Times New Roman" w:hAnsi="Times New Roman" w:eastAsia="仿宋_GB2312"/>
          <w:sz w:val="32"/>
          <w:szCs w:val="32"/>
          <w:lang w:val="en-US" w:eastAsia="zh-CN"/>
        </w:rPr>
        <w:t>公共卫生</w:t>
      </w:r>
      <w:r>
        <w:rPr>
          <w:rFonts w:hint="eastAsia" w:ascii="Times New Roman" w:hAnsi="Times New Roman" w:eastAsia="仿宋_GB2312"/>
          <w:sz w:val="32"/>
          <w:szCs w:val="32"/>
        </w:rPr>
        <w:t>（款）重大公共卫生服务（项）。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于年初预算数的主要原因是：新增重大公共卫生服务项目。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、卫生健康支出（类）行政事业单位医疗（款）行政单位医疗（项）。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14.99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严格按预算执行决算</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、农林水支出（类）巩固脱贫衔接乡村振兴（款）行政运行（项）。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取消</w:t>
      </w:r>
      <w:r>
        <w:rPr>
          <w:rFonts w:hint="eastAsia" w:ascii="Times New Roman" w:hAnsi="Times New Roman" w:eastAsia="仿宋_GB2312"/>
          <w:sz w:val="32"/>
          <w:szCs w:val="32"/>
        </w:rPr>
        <w:t>巩固脱贫衔接乡村振兴项目。</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、住房保障支出（类）住房改革支出（款）住房公积金（项）。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严格按预算执行决算</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677.05</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530.78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78.40</w:t>
      </w:r>
      <w:r>
        <w:rPr>
          <w:rFonts w:hint="eastAsia" w:ascii="Times New Roman" w:hAnsi="Times New Roman" w:eastAsia="仿宋_GB2312"/>
          <w:sz w:val="32"/>
          <w:szCs w:val="32"/>
        </w:rPr>
        <w:t>%,主要包括基本工资、津贴补贴、奖金、伙食补助费、绩效工资、机关事业单位基本养老保险缴费、职工基本医疗保险缴费、其他社会保障缴费、住房公积金、其他工资福利支出、退休费、抚恤金、其他对个人和家庭的补助</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146.27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21.60</w:t>
      </w:r>
      <w:r>
        <w:rPr>
          <w:rFonts w:hint="eastAsia" w:ascii="Times New Roman" w:hAnsi="Times New Roman" w:eastAsia="仿宋_GB2312"/>
          <w:sz w:val="32"/>
          <w:szCs w:val="32"/>
        </w:rPr>
        <w:t>%，主要包括办公费、印刷费、水费、电费、邮电费、差旅费、维修（护）费、会议费、培训费、公务接待费、劳务费、委托业务费、工会经费、福利费、公务用车运行维护费、其他交通费用、税金及附加费用、其他商品和服务支出</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于预算数的主要原因是本单位无因公出国（境）费支出，与上年相比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未</w:t>
      </w:r>
      <w:r>
        <w:rPr>
          <w:rFonts w:hint="eastAsia" w:ascii="Times New Roman" w:hAnsi="Times New Roman" w:eastAsia="仿宋_GB2312"/>
          <w:sz w:val="32"/>
          <w:szCs w:val="32"/>
        </w:rPr>
        <w:t>因公出国（境），所以没有因公出国（境）费支出。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10.56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严格按预算执行决算</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5.05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32.35</w:t>
      </w:r>
      <w:r>
        <w:rPr>
          <w:rFonts w:hint="eastAsia" w:ascii="Times New Roman" w:hAnsi="Times New Roman" w:eastAsia="仿宋_GB2312"/>
          <w:sz w:val="32"/>
          <w:szCs w:val="32"/>
        </w:rPr>
        <w:t>%,减少的主要原因是厉行节约，缩减经费，减少公务接待开支。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val="en-US" w:eastAsia="zh-CN"/>
        </w:rPr>
        <w:t>等于</w:t>
      </w:r>
      <w:r>
        <w:rPr>
          <w:rFonts w:hint="eastAsia" w:ascii="Times New Roman" w:hAnsi="Times New Roman" w:eastAsia="仿宋_GB2312"/>
          <w:sz w:val="32"/>
          <w:szCs w:val="32"/>
        </w:rPr>
        <w:t>预算数的主要原因是</w:t>
      </w:r>
      <w:r>
        <w:rPr>
          <w:rFonts w:hint="eastAsia" w:ascii="Times New Roman" w:hAnsi="Times New Roman" w:eastAsia="仿宋_GB2312"/>
          <w:sz w:val="32"/>
          <w:szCs w:val="32"/>
          <w:lang w:val="en-US" w:eastAsia="zh-CN"/>
        </w:rPr>
        <w:t>未购置新公务用车</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未购置新公务用车</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val="en-US" w:eastAsia="zh-CN"/>
        </w:rPr>
        <w:t>等</w:t>
      </w:r>
      <w:r>
        <w:rPr>
          <w:rFonts w:hint="eastAsia" w:ascii="Times New Roman" w:hAnsi="Times New Roman" w:eastAsia="仿宋_GB2312"/>
          <w:sz w:val="32"/>
          <w:szCs w:val="32"/>
        </w:rPr>
        <w:t>于预算数的主要原因是</w:t>
      </w:r>
      <w:r>
        <w:rPr>
          <w:rFonts w:hint="eastAsia" w:ascii="Times New Roman" w:hAnsi="Times New Roman" w:eastAsia="仿宋_GB2312"/>
          <w:sz w:val="32"/>
          <w:szCs w:val="32"/>
          <w:lang w:val="en-US" w:eastAsia="zh-CN"/>
        </w:rPr>
        <w:t>严格按预算执行决算</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val="en-US" w:eastAsia="zh-CN"/>
        </w:rPr>
        <w:t>公车维护项目不变，价格不变</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67.87</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32.13</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本单位本年度无因公出国（境）费支出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10.56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116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744</w:t>
      </w:r>
      <w:r>
        <w:rPr>
          <w:rFonts w:hint="eastAsia" w:ascii="Times New Roman" w:hAnsi="Times New Roman" w:eastAsia="仿宋_GB2312"/>
          <w:sz w:val="32"/>
          <w:szCs w:val="32"/>
        </w:rPr>
        <w:t>人次，主要是各大会议发生的接待支出以及乡镇及其他省市县各级政府来本办交流学习发生的接待支出。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万元，主要是公车维护、保养、保险支出，截止202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本单位202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年度无政府性基金收支。</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146.27</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303.73</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67.50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厉行节约，大力缩减运行经费</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21.9</w:t>
      </w:r>
      <w:r>
        <w:rPr>
          <w:rFonts w:hint="eastAsia" w:ascii="Times New Roman" w:hAnsi="Times New Roman" w:eastAsia="仿宋_GB2312"/>
          <w:sz w:val="32"/>
          <w:szCs w:val="32"/>
        </w:rPr>
        <w:t>万元，用于召开各种大小会议如县委全会、经济工作会等会议，人数</w:t>
      </w:r>
      <w:r>
        <w:rPr>
          <w:rFonts w:hint="eastAsia" w:ascii="Times New Roman" w:hAnsi="Times New Roman" w:eastAsia="仿宋_GB2312"/>
          <w:sz w:val="32"/>
          <w:szCs w:val="32"/>
          <w:lang w:val="en-US" w:eastAsia="zh-CN"/>
        </w:rPr>
        <w:t>2018</w:t>
      </w:r>
      <w:r>
        <w:rPr>
          <w:rFonts w:hint="eastAsia" w:ascii="Times New Roman" w:hAnsi="Times New Roman" w:eastAsia="仿宋_GB2312"/>
          <w:sz w:val="32"/>
          <w:szCs w:val="32"/>
        </w:rPr>
        <w:t>人，内容为总结各单位工作、重大问题决策等；开支培训费</w:t>
      </w:r>
      <w:r>
        <w:rPr>
          <w:rFonts w:hint="eastAsia" w:ascii="Times New Roman" w:hAnsi="Times New Roman" w:eastAsia="仿宋_GB2312"/>
          <w:sz w:val="32"/>
          <w:szCs w:val="32"/>
          <w:lang w:val="en-US" w:eastAsia="zh-CN"/>
        </w:rPr>
        <w:t>0.83</w:t>
      </w:r>
      <w:r>
        <w:rPr>
          <w:rFonts w:hint="eastAsia" w:ascii="Times New Roman" w:hAnsi="Times New Roman" w:eastAsia="仿宋_GB2312"/>
          <w:sz w:val="32"/>
          <w:szCs w:val="32"/>
        </w:rPr>
        <w:t>万元，用于开展职工培训，人数</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人，内容为干部业务知识培训；</w:t>
      </w:r>
      <w:r>
        <w:rPr>
          <w:rFonts w:hint="eastAsia" w:ascii="Times New Roman" w:hAnsi="Times New Roman" w:eastAsia="仿宋_GB2312"/>
          <w:sz w:val="32"/>
          <w:szCs w:val="32"/>
          <w:lang w:val="en-US" w:eastAsia="zh-CN"/>
        </w:rPr>
        <w:t>无</w:t>
      </w:r>
      <w:r>
        <w:rPr>
          <w:rFonts w:hint="eastAsia" w:ascii="Times New Roman" w:hAnsi="Times New Roman" w:eastAsia="仿宋_GB2312"/>
          <w:sz w:val="32"/>
          <w:szCs w:val="32"/>
        </w:rPr>
        <w:t>举办节庆、晚会、论坛、赛事活动，开支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220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160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190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86.36</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13.64</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辆，其他用车主要是小轿车，主要用于干部出差及接待；单位价值50万元以上通用设备</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本单位支出的绩效目标完成情况</w:t>
      </w:r>
      <w:r>
        <w:rPr>
          <w:rFonts w:hint="eastAsia" w:ascii="Times New Roman" w:hAnsi="Times New Roman" w:eastAsia="仿宋_GB2312"/>
          <w:sz w:val="32"/>
          <w:szCs w:val="32"/>
          <w:lang w:val="en-US" w:eastAsia="zh-CN"/>
        </w:rPr>
        <w:t>良好</w:t>
      </w:r>
      <w:r>
        <w:rPr>
          <w:rFonts w:hint="eastAsia" w:ascii="Times New Roman" w:hAnsi="Times New Roman" w:eastAsia="仿宋_GB2312"/>
          <w:sz w:val="32"/>
          <w:szCs w:val="32"/>
        </w:rPr>
        <w:t>，实现产出和取得效益</w:t>
      </w:r>
      <w:r>
        <w:rPr>
          <w:rFonts w:hint="eastAsia" w:ascii="Times New Roman" w:hAnsi="Times New Roman" w:eastAsia="仿宋_GB2312"/>
          <w:sz w:val="32"/>
          <w:szCs w:val="32"/>
          <w:lang w:val="en-US" w:eastAsia="zh-CN"/>
        </w:rPr>
        <w:t>也在逐渐优化</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具体见附件：2022年度部门整体支出绩效目标申报表。</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存在的问题：预算金额比决算金额大很多。</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原因分析：根据2021年度预决算来进行预算编制，未考虑实际因素，所以将预算金额编制得稍高了些，以后编制预算会更注意把握，同时严格按预算执行决算。</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rPr>
        <w:t>、财政拨款收入：指单位从同级财政部门取得的财政预算资金。</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、事业收入：指事业单位开展专业业务活动及辅助活动取得的收入。</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、经营收入：指事业单位在专业业务活动及其辅助活动之外开展非独立核算经营活动取得的收入。</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、其他收入：指除上述“财政拨款收入”、“事业收入”、“经营收入”等以外的收入。主要是按规定动用的售房收入、存款利息收入等。</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六</w:t>
      </w:r>
      <w:r>
        <w:rPr>
          <w:rFonts w:hint="eastAsia" w:ascii="Times New Roman" w:hAnsi="Times New Roman" w:eastAsia="仿宋_GB2312"/>
          <w:sz w:val="32"/>
          <w:szCs w:val="32"/>
        </w:rPr>
        <w:t>、年初结转和结余：指单位以前年度尚未完成、结转到本年按有关规定继续使用的资金。</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七</w:t>
      </w:r>
      <w:r>
        <w:rPr>
          <w:rFonts w:hint="eastAsia" w:ascii="Times New Roman" w:hAnsi="Times New Roman" w:eastAsia="仿宋_GB2312"/>
          <w:sz w:val="32"/>
          <w:szCs w:val="32"/>
        </w:rPr>
        <w:t>、结余分配：指事业单位按规定提取的职工福利基金、事业基金和缴纳的所得税，以及建设单位按规定应交回的基本建设竣工项目结余资金。</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八</w:t>
      </w:r>
      <w:r>
        <w:rPr>
          <w:rFonts w:hint="eastAsia" w:ascii="Times New Roman" w:hAnsi="Times New Roman" w:eastAsia="仿宋_GB2312"/>
          <w:sz w:val="32"/>
          <w:szCs w:val="32"/>
        </w:rPr>
        <w:t>、年末结转和结余：指本年度或以前年度预算安排、因客观条件发生变化无法按原计划实施，需要延迟到以后年度按有关规定继续使用的资金。</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九</w:t>
      </w:r>
      <w:r>
        <w:rPr>
          <w:rFonts w:hint="eastAsia" w:ascii="Times New Roman" w:hAnsi="Times New Roman" w:eastAsia="仿宋_GB2312"/>
          <w:sz w:val="32"/>
          <w:szCs w:val="32"/>
        </w:rPr>
        <w:t>、基本支出：指为保障机构正常运转、完成日常工作任务而发生的人员支出和公用支出。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十</w:t>
      </w:r>
      <w:r>
        <w:rPr>
          <w:rFonts w:hint="eastAsia" w:ascii="Times New Roman" w:hAnsi="Times New Roman" w:eastAsia="仿宋_GB2312"/>
          <w:sz w:val="32"/>
          <w:szCs w:val="32"/>
        </w:rPr>
        <w:t>、项目支出：指在基本支出之外为完成特定行政任务和事业发展目标所发生的支出。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十一</w:t>
      </w:r>
      <w:r>
        <w:rPr>
          <w:rFonts w:hint="eastAsia" w:ascii="Times New Roman" w:hAnsi="Times New Roman" w:eastAsia="仿宋_GB2312"/>
          <w:sz w:val="32"/>
          <w:szCs w:val="32"/>
        </w:rPr>
        <w:t>、经营支出：指事业单位在专业业务活动及其辅助活动之外开展非独立核算经营活动发生的支出。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十二</w:t>
      </w:r>
      <w:r>
        <w:rPr>
          <w:rFonts w:hint="eastAsia" w:ascii="Times New Roman" w:hAnsi="Times New Roman" w:eastAsia="仿宋_GB2312"/>
          <w:sz w:val="32"/>
          <w:szCs w:val="32"/>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十三</w:t>
      </w:r>
      <w:r>
        <w:rPr>
          <w:rFonts w:hint="eastAsia" w:ascii="Times New Roman" w:hAnsi="Times New Roman"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YzhiYTAxYjllZWE1MGY1NjRiOWQ4MjBlNGExNW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22BA0"/>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13F9D"/>
    <w:rsid w:val="01F67E42"/>
    <w:rsid w:val="020D7BF2"/>
    <w:rsid w:val="036C5850"/>
    <w:rsid w:val="03B13F19"/>
    <w:rsid w:val="04726FC9"/>
    <w:rsid w:val="04DA26C6"/>
    <w:rsid w:val="07102C65"/>
    <w:rsid w:val="076D7DB9"/>
    <w:rsid w:val="085B2450"/>
    <w:rsid w:val="088E7A4F"/>
    <w:rsid w:val="08CD44C2"/>
    <w:rsid w:val="0A1C72DC"/>
    <w:rsid w:val="0CF459E3"/>
    <w:rsid w:val="0DCB704F"/>
    <w:rsid w:val="0E846324"/>
    <w:rsid w:val="139B74C4"/>
    <w:rsid w:val="149A3C1F"/>
    <w:rsid w:val="16493E5B"/>
    <w:rsid w:val="1965023A"/>
    <w:rsid w:val="197E141A"/>
    <w:rsid w:val="19B65058"/>
    <w:rsid w:val="1A312930"/>
    <w:rsid w:val="1A69031C"/>
    <w:rsid w:val="1AC217DA"/>
    <w:rsid w:val="1AE04969"/>
    <w:rsid w:val="1BC31CAE"/>
    <w:rsid w:val="1C8147DC"/>
    <w:rsid w:val="1DBA103F"/>
    <w:rsid w:val="1F8B27BE"/>
    <w:rsid w:val="200A54D4"/>
    <w:rsid w:val="20473237"/>
    <w:rsid w:val="20B816B5"/>
    <w:rsid w:val="21052CA3"/>
    <w:rsid w:val="2167282F"/>
    <w:rsid w:val="2666570F"/>
    <w:rsid w:val="26E41A63"/>
    <w:rsid w:val="2B1440A6"/>
    <w:rsid w:val="2C0A4D8F"/>
    <w:rsid w:val="2D99461C"/>
    <w:rsid w:val="2DD438A6"/>
    <w:rsid w:val="2F9C0EE0"/>
    <w:rsid w:val="300761B5"/>
    <w:rsid w:val="30627C73"/>
    <w:rsid w:val="31766158"/>
    <w:rsid w:val="31967609"/>
    <w:rsid w:val="31A039C7"/>
    <w:rsid w:val="32EA0520"/>
    <w:rsid w:val="33AD0E22"/>
    <w:rsid w:val="34232E92"/>
    <w:rsid w:val="34DC5AF1"/>
    <w:rsid w:val="35D82A9E"/>
    <w:rsid w:val="37773C20"/>
    <w:rsid w:val="39F655DF"/>
    <w:rsid w:val="3AA840F1"/>
    <w:rsid w:val="3B634061"/>
    <w:rsid w:val="40331AC3"/>
    <w:rsid w:val="414C682F"/>
    <w:rsid w:val="41650F8E"/>
    <w:rsid w:val="41EA5C7B"/>
    <w:rsid w:val="42082B23"/>
    <w:rsid w:val="42F06635"/>
    <w:rsid w:val="43B91FB9"/>
    <w:rsid w:val="455410FD"/>
    <w:rsid w:val="45B13F0A"/>
    <w:rsid w:val="45B641CC"/>
    <w:rsid w:val="45F91CA8"/>
    <w:rsid w:val="46712183"/>
    <w:rsid w:val="468F5C21"/>
    <w:rsid w:val="484A6F23"/>
    <w:rsid w:val="48A7498B"/>
    <w:rsid w:val="4B920BD1"/>
    <w:rsid w:val="4D25098E"/>
    <w:rsid w:val="4DBA440F"/>
    <w:rsid w:val="508D5E0B"/>
    <w:rsid w:val="50A714FA"/>
    <w:rsid w:val="53AB5AC3"/>
    <w:rsid w:val="54F63F7F"/>
    <w:rsid w:val="561A0AEC"/>
    <w:rsid w:val="567A0BDF"/>
    <w:rsid w:val="56BD287A"/>
    <w:rsid w:val="5777D4F5"/>
    <w:rsid w:val="58E97149"/>
    <w:rsid w:val="597E0232"/>
    <w:rsid w:val="59F951F2"/>
    <w:rsid w:val="5AB87F28"/>
    <w:rsid w:val="5C606182"/>
    <w:rsid w:val="5DF75DF1"/>
    <w:rsid w:val="5F614B80"/>
    <w:rsid w:val="5FAD49AA"/>
    <w:rsid w:val="5FC6BB1E"/>
    <w:rsid w:val="5FF720F1"/>
    <w:rsid w:val="6008725C"/>
    <w:rsid w:val="608A5EC3"/>
    <w:rsid w:val="627D2218"/>
    <w:rsid w:val="63F475C1"/>
    <w:rsid w:val="64813139"/>
    <w:rsid w:val="65E52144"/>
    <w:rsid w:val="695D4175"/>
    <w:rsid w:val="6AE44AD1"/>
    <w:rsid w:val="6CA420BB"/>
    <w:rsid w:val="6CD504C6"/>
    <w:rsid w:val="6CE8288D"/>
    <w:rsid w:val="6E0E1EE1"/>
    <w:rsid w:val="6EC50223"/>
    <w:rsid w:val="70AC1B2B"/>
    <w:rsid w:val="737D59BA"/>
    <w:rsid w:val="73E62FB9"/>
    <w:rsid w:val="743E2DF5"/>
    <w:rsid w:val="75870D2C"/>
    <w:rsid w:val="77452506"/>
    <w:rsid w:val="77615CA6"/>
    <w:rsid w:val="77C37683"/>
    <w:rsid w:val="77CC156A"/>
    <w:rsid w:val="780038BC"/>
    <w:rsid w:val="79FF515B"/>
    <w:rsid w:val="7A3F4800"/>
    <w:rsid w:val="7A9E02BB"/>
    <w:rsid w:val="7AAF67FA"/>
    <w:rsid w:val="7ACB4CB6"/>
    <w:rsid w:val="7B11145D"/>
    <w:rsid w:val="7B3D06D4"/>
    <w:rsid w:val="7C7F2344"/>
    <w:rsid w:val="7E9F11B4"/>
    <w:rsid w:val="7EED2772"/>
    <w:rsid w:val="7F902C16"/>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9</TotalTime>
  <ScaleCrop>false</ScaleCrop>
  <LinksUpToDate>false</LinksUpToDate>
  <CharactersWithSpaces>9008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蓝忘机</cp:lastModifiedBy>
  <cp:lastPrinted>2023-08-15T09:28:00Z</cp:lastPrinted>
  <dcterms:modified xsi:type="dcterms:W3CDTF">2023-09-07T07:11:47Z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4BA7F90A2E2049DABCB7E9017727EC4A_13</vt:lpwstr>
  </property>
</Properties>
</file>