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sz w:val="24"/>
          <w:szCs w:val="24"/>
        </w:rPr>
      </w:pPr>
    </w:p>
    <w:p>
      <w:pPr>
        <w:widowControl/>
        <w:jc w:val="left"/>
        <w:rPr>
          <w:rFonts w:eastAsia="黑体"/>
          <w:sz w:val="24"/>
          <w:szCs w:val="24"/>
        </w:rPr>
      </w:pPr>
    </w:p>
    <w:p>
      <w:pPr>
        <w:widowControl/>
        <w:jc w:val="left"/>
        <w:rPr>
          <w:rFonts w:eastAsia="黑体"/>
          <w:sz w:val="24"/>
          <w:szCs w:val="24"/>
        </w:rPr>
      </w:pPr>
    </w:p>
    <w:p>
      <w:pPr>
        <w:widowControl/>
        <w:spacing w:after="156" w:afterLines="50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202</w:t>
      </w:r>
      <w:r>
        <w:rPr>
          <w:rFonts w:hint="eastAsia" w:eastAsia="方正小标宋_GBK"/>
          <w:color w:val="000000"/>
          <w:sz w:val="36"/>
          <w:szCs w:val="36"/>
        </w:rPr>
        <w:t>2</w:t>
      </w:r>
      <w:r>
        <w:rPr>
          <w:rFonts w:hint="eastAsia" w:eastAsia="方正小标宋_GBK" w:cs="方正小标宋_GBK"/>
          <w:color w:val="000000"/>
          <w:sz w:val="36"/>
          <w:szCs w:val="36"/>
        </w:rPr>
        <w:t>年度部门整体支出绩效自评表</w:t>
      </w:r>
    </w:p>
    <w:tbl>
      <w:tblPr>
        <w:tblStyle w:val="6"/>
        <w:tblW w:w="100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33"/>
        <w:gridCol w:w="863"/>
        <w:gridCol w:w="579"/>
        <w:gridCol w:w="327"/>
        <w:gridCol w:w="866"/>
        <w:gridCol w:w="1293"/>
        <w:gridCol w:w="708"/>
        <w:gridCol w:w="293"/>
        <w:gridCol w:w="580"/>
        <w:gridCol w:w="14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预算单位名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称</w:t>
            </w:r>
          </w:p>
        </w:tc>
        <w:tc>
          <w:tcPr>
            <w:tcW w:w="90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</w:rPr>
              <w:t>桃源县住房和城乡建设局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算申请</w:t>
            </w:r>
            <w:r>
              <w:rPr>
                <w:rFonts w:ascii="黑体" w:hAnsi="黑体" w:eastAsia="黑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上年</w:t>
            </w:r>
          </w:p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结转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auto"/>
                <w:sz w:val="20"/>
                <w:szCs w:val="20"/>
              </w:rPr>
            </w:pPr>
            <w:r>
              <w:rPr>
                <w:rFonts w:hint="eastAsia" w:eastAsia="仿宋" w:cs="仿宋"/>
                <w:color w:val="auto"/>
                <w:sz w:val="20"/>
                <w:szCs w:val="20"/>
              </w:rPr>
              <w:t>年初</w:t>
            </w:r>
          </w:p>
          <w:p>
            <w:pPr>
              <w:spacing w:line="240" w:lineRule="exact"/>
              <w:jc w:val="center"/>
              <w:rPr>
                <w:rFonts w:eastAsia="仿宋"/>
                <w:color w:val="auto"/>
                <w:sz w:val="20"/>
                <w:szCs w:val="20"/>
              </w:rPr>
            </w:pPr>
            <w:r>
              <w:rPr>
                <w:rFonts w:hint="eastAsia" w:eastAsia="仿宋" w:cs="仿宋"/>
                <w:color w:val="auto"/>
                <w:sz w:val="20"/>
                <w:szCs w:val="20"/>
              </w:rPr>
              <w:t>预算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auto"/>
                <w:sz w:val="20"/>
                <w:szCs w:val="20"/>
              </w:rPr>
            </w:pPr>
            <w:r>
              <w:rPr>
                <w:rFonts w:hint="eastAsia" w:eastAsia="仿宋" w:cs="仿宋"/>
                <w:color w:val="auto"/>
                <w:sz w:val="20"/>
                <w:szCs w:val="20"/>
              </w:rPr>
              <w:t>全年预算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auto"/>
                <w:sz w:val="20"/>
                <w:szCs w:val="20"/>
              </w:rPr>
            </w:pPr>
            <w:r>
              <w:rPr>
                <w:rFonts w:hint="eastAsia" w:eastAsia="仿宋" w:cs="仿宋"/>
                <w:color w:val="auto"/>
                <w:sz w:val="20"/>
                <w:szCs w:val="20"/>
              </w:rPr>
              <w:t>全年执行数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auto"/>
                <w:sz w:val="20"/>
                <w:szCs w:val="20"/>
              </w:rPr>
            </w:pPr>
            <w:r>
              <w:rPr>
                <w:rFonts w:hint="eastAsia" w:eastAsia="仿宋" w:cs="仿宋"/>
                <w:color w:val="auto"/>
                <w:sz w:val="20"/>
                <w:szCs w:val="20"/>
              </w:rPr>
              <w:t>分值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auto"/>
                <w:sz w:val="20"/>
                <w:szCs w:val="20"/>
              </w:rPr>
            </w:pPr>
            <w:r>
              <w:rPr>
                <w:rFonts w:hint="eastAsia" w:eastAsia="仿宋" w:cs="仿宋"/>
                <w:color w:val="auto"/>
                <w:sz w:val="20"/>
                <w:szCs w:val="20"/>
              </w:rPr>
              <w:t>执行率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auto"/>
                <w:sz w:val="20"/>
                <w:szCs w:val="20"/>
              </w:rPr>
            </w:pPr>
            <w:r>
              <w:rPr>
                <w:rFonts w:hint="eastAsia" w:eastAsia="仿宋" w:cs="仿宋"/>
                <w:color w:val="auto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691.45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auto"/>
                <w:sz w:val="20"/>
                <w:szCs w:val="20"/>
              </w:rPr>
            </w:pPr>
            <w:r>
              <w:rPr>
                <w:rFonts w:hint="eastAsia" w:eastAsia="仿宋"/>
                <w:color w:val="auto"/>
                <w:sz w:val="20"/>
                <w:szCs w:val="20"/>
              </w:rPr>
              <w:t>30</w:t>
            </w:r>
            <w:r>
              <w:rPr>
                <w:rFonts w:hint="eastAsia" w:eastAsia="仿宋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eastAsia="仿宋"/>
                <w:color w:val="auto"/>
                <w:sz w:val="20"/>
                <w:szCs w:val="20"/>
              </w:rPr>
              <w:t>3.67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auto"/>
                <w:sz w:val="20"/>
                <w:szCs w:val="20"/>
              </w:rPr>
            </w:pPr>
            <w:r>
              <w:rPr>
                <w:rFonts w:eastAsia="仿宋"/>
                <w:color w:val="auto"/>
                <w:sz w:val="20"/>
                <w:szCs w:val="20"/>
              </w:rPr>
              <w:t>6499.89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auto"/>
                <w:sz w:val="20"/>
                <w:szCs w:val="20"/>
              </w:rPr>
            </w:pPr>
            <w:r>
              <w:rPr>
                <w:rFonts w:hint="eastAsia" w:eastAsia="仿宋"/>
                <w:color w:val="auto"/>
                <w:sz w:val="20"/>
                <w:szCs w:val="20"/>
              </w:rPr>
              <w:t>6499.89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auto"/>
                <w:sz w:val="20"/>
                <w:szCs w:val="20"/>
              </w:rPr>
            </w:pPr>
            <w:r>
              <w:rPr>
                <w:rFonts w:eastAsia="仿宋"/>
                <w:color w:val="auto"/>
                <w:sz w:val="20"/>
                <w:szCs w:val="20"/>
              </w:rPr>
              <w:t>10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auto"/>
                <w:sz w:val="20"/>
                <w:szCs w:val="20"/>
              </w:rPr>
            </w:pPr>
            <w:r>
              <w:rPr>
                <w:rFonts w:hint="eastAsia" w:eastAsia="仿宋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auto"/>
                <w:sz w:val="20"/>
                <w:szCs w:val="20"/>
              </w:rPr>
            </w:pPr>
            <w:r>
              <w:rPr>
                <w:rFonts w:hint="eastAsia" w:eastAsia="仿宋"/>
                <w:color w:val="auto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4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按收入性质分：</w:t>
            </w:r>
            <w:r>
              <w:rPr>
                <w:rFonts w:hint="eastAsia" w:eastAsia="仿宋"/>
                <w:sz w:val="20"/>
                <w:szCs w:val="20"/>
              </w:rPr>
              <w:t>5808.44</w:t>
            </w:r>
          </w:p>
        </w:tc>
        <w:tc>
          <w:tcPr>
            <w:tcW w:w="4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按支出性质分：</w:t>
            </w:r>
            <w:r>
              <w:rPr>
                <w:rFonts w:hint="eastAsia" w:eastAsia="仿宋"/>
                <w:sz w:val="20"/>
                <w:szCs w:val="20"/>
              </w:rPr>
              <w:t>6499.89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4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其中：</w:t>
            </w:r>
            <w:r>
              <w:rPr>
                <w:rFonts w:eastAsia="仿宋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一般公共预算：</w:t>
            </w:r>
            <w:r>
              <w:rPr>
                <w:rFonts w:hint="eastAsia" w:eastAsia="仿宋"/>
                <w:sz w:val="20"/>
                <w:szCs w:val="20"/>
              </w:rPr>
              <w:t>4111.31</w:t>
            </w:r>
          </w:p>
        </w:tc>
        <w:tc>
          <w:tcPr>
            <w:tcW w:w="4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其中：基本支出：</w:t>
            </w:r>
            <w:r>
              <w:rPr>
                <w:rFonts w:hint="eastAsia" w:eastAsia="仿宋"/>
                <w:sz w:val="20"/>
                <w:szCs w:val="20"/>
              </w:rPr>
              <w:t>1120.29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4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800" w:firstLineChars="40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政府性基金拨款：</w:t>
            </w:r>
            <w:r>
              <w:rPr>
                <w:rFonts w:eastAsia="仿宋" w:cs="仿宋"/>
                <w:color w:val="000000"/>
                <w:sz w:val="20"/>
                <w:szCs w:val="20"/>
              </w:rPr>
              <w:t>1697.12</w:t>
            </w:r>
            <w:bookmarkStart w:id="0" w:name="_GoBack"/>
            <w:bookmarkEnd w:id="0"/>
          </w:p>
        </w:tc>
        <w:tc>
          <w:tcPr>
            <w:tcW w:w="4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600" w:firstLineChars="30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项目支出：</w:t>
            </w:r>
            <w:r>
              <w:rPr>
                <w:rFonts w:hint="eastAsia" w:eastAsia="仿宋"/>
                <w:sz w:val="20"/>
                <w:szCs w:val="20"/>
              </w:rPr>
              <w:t>5379.60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4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纳入专户管理的非税收入拨款：</w:t>
            </w:r>
          </w:p>
        </w:tc>
        <w:tc>
          <w:tcPr>
            <w:tcW w:w="4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4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1400" w:firstLineChars="70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其他资金：</w:t>
            </w:r>
          </w:p>
        </w:tc>
        <w:tc>
          <w:tcPr>
            <w:tcW w:w="4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70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0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目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标1：保证机关基本运转及必要的项目资金的拨付。</w:t>
            </w:r>
          </w:p>
          <w:p>
            <w:pPr>
              <w:widowControl/>
              <w:spacing w:line="240" w:lineRule="exact"/>
              <w:jc w:val="left"/>
              <w:rPr>
                <w:rFonts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目标2：项目建设，“上下”同步一是做好职能职责范围内城市基础设施维护，确保城市正常运转。二是牵头搞好政府投资城建项目的全程跟踪管控。三是搞好职能职责范围内的生活水污染防治工作。四是搞好相关项目的争资争项工作。吃透各级各部门争资的精神，提前谋划，积极争取各方资金。</w:t>
            </w:r>
          </w:p>
          <w:p>
            <w:pPr>
              <w:widowControl/>
              <w:spacing w:line="240" w:lineRule="exact"/>
              <w:jc w:val="left"/>
              <w:rPr>
                <w:rFonts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目标3：民生实事，“点面”结合。围绕“老旧小区改造”、“危房改造”、“保供水、保供气”等民生实事，着眼于点，示范引导，立足于面，深化拓展，让老百姓真正得益受惠。</w:t>
            </w:r>
          </w:p>
          <w:p>
            <w:pPr>
              <w:widowControl/>
              <w:spacing w:line="240" w:lineRule="exact"/>
              <w:jc w:val="left"/>
              <w:rPr>
                <w:rFonts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目标4：城市管理，“内外”兼修深化“主动服务”，正确处理“面子、里子”关系，让城市功能日臻完善;紧抓建设工程“保安全提质量”和行业管理“强监管促规范”两大重点不放松，让城市魅力显著增强。</w:t>
            </w:r>
          </w:p>
          <w:p>
            <w:pPr>
              <w:widowControl/>
              <w:spacing w:line="240" w:lineRule="exact"/>
              <w:jc w:val="left"/>
              <w:rPr>
                <w:rFonts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目标5：安全生产，常抓不懈。牢固树立“生命至上，安全发展”的工作理念，强化责任落实、强化隐患整治、强力执法检查,最大限度保障人民群众生命财产安全。</w:t>
            </w:r>
          </w:p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按照预期目标完成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标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实际完成值</w:t>
            </w:r>
            <w:r>
              <w:rPr>
                <w:rFonts w:eastAsia="仿宋"/>
                <w:color w:val="000000"/>
                <w:sz w:val="20"/>
                <w:szCs w:val="20"/>
              </w:rPr>
              <w:t>/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（</w:t>
            </w:r>
            <w:r>
              <w:rPr>
                <w:rFonts w:eastAsia="仿宋"/>
                <w:color w:val="000000"/>
                <w:sz w:val="20"/>
                <w:szCs w:val="20"/>
              </w:rPr>
              <w:t>50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参与审查审图机构数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24家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24家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审查面积数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约166万㎡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约166万㎡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开工条件审查数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50个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50个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监督注册数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18个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18个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质量安全生产监督次数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12次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危房改造户数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300户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300户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“三会一课”次数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12次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施工图审查准确率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审查机构政府采购率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审查费用结算准确率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验收合格率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危房改造房屋质量达标率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改造对象精准率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党建活动完成率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各项工作完成及时率</w:t>
            </w:r>
            <w:r>
              <w:rPr>
                <w:rFonts w:eastAsia="仿宋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202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2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年内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202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2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年内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10</w:t>
            </w:r>
            <w:r>
              <w:rPr>
                <w:rFonts w:eastAsia="仿宋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10</w:t>
            </w:r>
            <w:r>
              <w:rPr>
                <w:rFonts w:eastAsia="仿宋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成本发生规范合理率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部分财政专项拨款，不在单位年初预算范围内。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基本支出控制额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1324.67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</w:rPr>
              <w:t>1120.29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项目支出控制额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1729万元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</w:rPr>
              <w:t>5379.60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效益指标</w:t>
            </w:r>
          </w:p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（</w:t>
            </w:r>
            <w:r>
              <w:rPr>
                <w:rFonts w:eastAsia="仿宋"/>
                <w:color w:val="000000"/>
                <w:sz w:val="20"/>
                <w:szCs w:val="20"/>
              </w:rPr>
              <w:t>30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非税收入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1800万元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1800万元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auto"/>
                <w:sz w:val="20"/>
                <w:szCs w:val="20"/>
              </w:rPr>
            </w:pPr>
            <w:r>
              <w:rPr>
                <w:rFonts w:hint="eastAsia" w:eastAsia="仿宋"/>
                <w:color w:val="auto"/>
                <w:sz w:val="20"/>
                <w:szCs w:val="20"/>
              </w:rPr>
              <w:t>5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auto"/>
                <w:sz w:val="20"/>
                <w:szCs w:val="20"/>
              </w:rPr>
            </w:pPr>
            <w:r>
              <w:rPr>
                <w:rFonts w:hint="eastAsia" w:eastAsia="仿宋"/>
                <w:color w:val="auto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基础设施维护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安全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安全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auto"/>
                <w:sz w:val="20"/>
                <w:szCs w:val="20"/>
              </w:rPr>
            </w:pPr>
            <w:r>
              <w:rPr>
                <w:rFonts w:hint="eastAsia" w:eastAsia="仿宋"/>
                <w:color w:val="auto"/>
                <w:sz w:val="20"/>
                <w:szCs w:val="20"/>
              </w:rPr>
              <w:t>3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auto"/>
                <w:sz w:val="20"/>
                <w:szCs w:val="20"/>
              </w:rPr>
            </w:pPr>
            <w:r>
              <w:rPr>
                <w:rFonts w:hint="eastAsia" w:eastAsia="仿宋"/>
                <w:color w:val="auto"/>
                <w:sz w:val="20"/>
                <w:szCs w:val="20"/>
              </w:rPr>
              <w:t>3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污水设施管理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改善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改善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auto"/>
                <w:sz w:val="20"/>
                <w:szCs w:val="20"/>
              </w:rPr>
            </w:pPr>
            <w:r>
              <w:rPr>
                <w:rFonts w:eastAsia="仿宋"/>
                <w:color w:val="auto"/>
                <w:sz w:val="20"/>
                <w:szCs w:val="20"/>
              </w:rPr>
              <w:t>3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auto"/>
                <w:sz w:val="20"/>
                <w:szCs w:val="20"/>
              </w:rPr>
            </w:pPr>
            <w:r>
              <w:rPr>
                <w:rFonts w:eastAsia="仿宋"/>
                <w:color w:val="auto"/>
                <w:sz w:val="20"/>
                <w:szCs w:val="20"/>
              </w:rPr>
              <w:t>3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灾害发生率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0%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0%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auto"/>
                <w:sz w:val="20"/>
                <w:szCs w:val="20"/>
              </w:rPr>
            </w:pPr>
            <w:r>
              <w:rPr>
                <w:rFonts w:eastAsia="仿宋"/>
                <w:color w:val="auto"/>
                <w:sz w:val="20"/>
                <w:szCs w:val="20"/>
              </w:rPr>
              <w:t>4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auto"/>
                <w:sz w:val="20"/>
                <w:szCs w:val="20"/>
              </w:rPr>
            </w:pPr>
            <w:r>
              <w:rPr>
                <w:rFonts w:eastAsia="仿宋"/>
                <w:color w:val="auto"/>
                <w:sz w:val="20"/>
                <w:szCs w:val="20"/>
              </w:rPr>
              <w:t>4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auto"/>
                <w:sz w:val="20"/>
                <w:szCs w:val="20"/>
              </w:rPr>
            </w:pPr>
            <w:r>
              <w:rPr>
                <w:rFonts w:hint="eastAsia" w:eastAsia="仿宋"/>
                <w:color w:val="auto"/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auto"/>
                <w:sz w:val="20"/>
                <w:szCs w:val="20"/>
              </w:rPr>
            </w:pPr>
            <w:r>
              <w:rPr>
                <w:rFonts w:eastAsia="仿宋"/>
                <w:color w:val="auto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对住房安全的影响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保障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软环境建设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优化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优化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服务行为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规范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（</w:t>
            </w:r>
            <w:r>
              <w:rPr>
                <w:rFonts w:eastAsia="仿宋"/>
                <w:color w:val="000000"/>
                <w:sz w:val="20"/>
                <w:szCs w:val="20"/>
              </w:rPr>
              <w:t>10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社会公众满意度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农村危房改造对象满意度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0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ascii="仿宋" w:hAnsi="仿宋" w:eastAsia="仿宋"/>
          <w:sz w:val="22"/>
          <w:szCs w:val="22"/>
        </w:rPr>
      </w:pPr>
    </w:p>
    <w:p>
      <w:pPr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填表人：易欣怡</w:t>
      </w:r>
      <w:r>
        <w:rPr>
          <w:rFonts w:ascii="仿宋" w:hAnsi="仿宋" w:eastAsia="仿宋" w:cs="仿宋"/>
          <w:sz w:val="22"/>
          <w:szCs w:val="22"/>
        </w:rPr>
        <w:t xml:space="preserve">                                 </w:t>
      </w:r>
      <w:r>
        <w:rPr>
          <w:rFonts w:hint="eastAsia" w:ascii="仿宋" w:hAnsi="仿宋" w:eastAsia="仿宋" w:cs="仿宋"/>
          <w:sz w:val="22"/>
          <w:szCs w:val="22"/>
        </w:rPr>
        <w:t>填报日期：2023.9.26</w:t>
      </w:r>
      <w:r>
        <w:rPr>
          <w:rFonts w:ascii="仿宋" w:hAnsi="仿宋" w:eastAsia="仿宋" w:cs="仿宋"/>
          <w:sz w:val="22"/>
          <w:szCs w:val="22"/>
        </w:rPr>
        <w:t xml:space="preserve"> 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 w:cs="仿宋"/>
          <w:sz w:val="22"/>
          <w:szCs w:val="22"/>
        </w:rPr>
        <w:t>联系电话：18473021611</w:t>
      </w:r>
      <w:r>
        <w:rPr>
          <w:rFonts w:ascii="仿宋" w:hAnsi="仿宋" w:eastAsia="仿宋" w:cs="仿宋"/>
          <w:sz w:val="22"/>
          <w:szCs w:val="22"/>
        </w:rPr>
        <w:t xml:space="preserve">                            </w:t>
      </w:r>
      <w:r>
        <w:rPr>
          <w:rFonts w:hint="eastAsia" w:ascii="仿宋" w:hAnsi="仿宋" w:eastAsia="仿宋" w:cs="仿宋"/>
          <w:sz w:val="22"/>
          <w:szCs w:val="22"/>
        </w:rPr>
        <w:t>单位负责人签字：王小娅</w:t>
      </w:r>
    </w:p>
    <w:sectPr>
      <w:footerReference r:id="rId3" w:type="default"/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ZmQ5YWY4ZGFjNGJjY2VkZDBlYTMwNDNlMDUxYjAifQ=="/>
  </w:docVars>
  <w:rsids>
    <w:rsidRoot w:val="D7F5C6E8"/>
    <w:rsid w:val="001F2DDB"/>
    <w:rsid w:val="00201658"/>
    <w:rsid w:val="002523C7"/>
    <w:rsid w:val="004D67E2"/>
    <w:rsid w:val="005A59EF"/>
    <w:rsid w:val="00744426"/>
    <w:rsid w:val="007533C6"/>
    <w:rsid w:val="007C2CB1"/>
    <w:rsid w:val="00800841"/>
    <w:rsid w:val="008A1E1E"/>
    <w:rsid w:val="00BA5FD5"/>
    <w:rsid w:val="00CA2F98"/>
    <w:rsid w:val="00D10C2F"/>
    <w:rsid w:val="00D161C2"/>
    <w:rsid w:val="00D418F8"/>
    <w:rsid w:val="00FC70EB"/>
    <w:rsid w:val="02B44B23"/>
    <w:rsid w:val="08142BF8"/>
    <w:rsid w:val="0EA8440C"/>
    <w:rsid w:val="11290E16"/>
    <w:rsid w:val="18302394"/>
    <w:rsid w:val="1B3F16C5"/>
    <w:rsid w:val="1D8159E1"/>
    <w:rsid w:val="227F104B"/>
    <w:rsid w:val="22A437EA"/>
    <w:rsid w:val="23C8742F"/>
    <w:rsid w:val="2F777868"/>
    <w:rsid w:val="31C86644"/>
    <w:rsid w:val="3B52273C"/>
    <w:rsid w:val="3BFF3B3D"/>
    <w:rsid w:val="3D08FDE9"/>
    <w:rsid w:val="440950FE"/>
    <w:rsid w:val="444A3956"/>
    <w:rsid w:val="4790024A"/>
    <w:rsid w:val="4B295151"/>
    <w:rsid w:val="4BED6A2E"/>
    <w:rsid w:val="4C381FB4"/>
    <w:rsid w:val="4E9A4412"/>
    <w:rsid w:val="547D286E"/>
    <w:rsid w:val="5D1D16D8"/>
    <w:rsid w:val="6AF4E76D"/>
    <w:rsid w:val="6F167D87"/>
    <w:rsid w:val="6FBDEB47"/>
    <w:rsid w:val="6FE763C5"/>
    <w:rsid w:val="71FA6FD4"/>
    <w:rsid w:val="7405773C"/>
    <w:rsid w:val="75EAFD34"/>
    <w:rsid w:val="777AF532"/>
    <w:rsid w:val="79F9990B"/>
    <w:rsid w:val="7BFEA0C4"/>
    <w:rsid w:val="7DE1302A"/>
    <w:rsid w:val="7DEEB24C"/>
    <w:rsid w:val="7FFFD822"/>
    <w:rsid w:val="9F7549F5"/>
    <w:rsid w:val="A9CF32FC"/>
    <w:rsid w:val="ADFC3C62"/>
    <w:rsid w:val="CFCF3787"/>
    <w:rsid w:val="CFEED72A"/>
    <w:rsid w:val="D7F5C6E8"/>
    <w:rsid w:val="EBEF7F3D"/>
    <w:rsid w:val="F6CA17C4"/>
    <w:rsid w:val="FCD5229E"/>
    <w:rsid w:val="FFD7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qFormat="1" w:unhideWhenUsed="0" w:uiPriority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semiHidden/>
    <w:qFormat/>
    <w:locked/>
    <w:uiPriority w:val="0"/>
    <w:pPr>
      <w:ind w:left="1680" w:leftChars="80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</w:style>
  <w:style w:type="character" w:customStyle="1" w:styleId="9">
    <w:name w:val="页脚 Char"/>
    <w:basedOn w:val="7"/>
    <w:link w:val="4"/>
    <w:semiHidden/>
    <w:qFormat/>
    <w:locked/>
    <w:uiPriority w:val="99"/>
    <w:rPr>
      <w:rFonts w:eastAsia="仿宋_GB231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11">
    <w:name w:val="页眉 Char"/>
    <w:basedOn w:val="7"/>
    <w:link w:val="5"/>
    <w:qFormat/>
    <w:locked/>
    <w:uiPriority w:val="99"/>
    <w:rPr>
      <w:rFonts w:eastAsia="仿宋_GB2312"/>
      <w:kern w:val="2"/>
      <w:sz w:val="18"/>
      <w:szCs w:val="18"/>
    </w:rPr>
  </w:style>
  <w:style w:type="paragraph" w:customStyle="1" w:styleId="12">
    <w:name w:val="样式2"/>
    <w:basedOn w:val="1"/>
    <w:qFormat/>
    <w:uiPriority w:val="0"/>
    <w:pPr>
      <w:widowControl/>
      <w:shd w:val="clear" w:color="auto" w:fill="FFFFFF"/>
      <w:spacing w:before="100" w:beforeAutospacing="1" w:after="100" w:afterAutospacing="1"/>
      <w:ind w:left="562"/>
      <w:jc w:val="center"/>
    </w:pPr>
    <w:rPr>
      <w:rFonts w:ascii="宋体" w:hAnsi="宋体" w:eastAsia="宋体" w:cs="宋体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天晟网络</Company>
  <Pages>2</Pages>
  <Words>292</Words>
  <Characters>1670</Characters>
  <Lines>13</Lines>
  <Paragraphs>3</Paragraphs>
  <TotalTime>236</TotalTime>
  <ScaleCrop>false</ScaleCrop>
  <LinksUpToDate>false</LinksUpToDate>
  <CharactersWithSpaces>1959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2022-08-30T10:28:00Z</dcterms:created>
  <dc:creator>greatwall</dc:creator>
  <cp:lastModifiedBy>郭芮含</cp:lastModifiedBy>
  <cp:lastPrinted>2022-03-04T15:33:00Z</cp:lastPrinted>
  <dcterms:modified xsi:type="dcterms:W3CDTF">2023-12-06T02:01:07Z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F7C33C18EAAF473B8522ABC7CC3A69CB_13</vt:lpwstr>
  </property>
</Properties>
</file>