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sz w:val="32"/>
          <w:szCs w:val="32"/>
        </w:rPr>
      </w:pPr>
    </w:p>
    <w:p>
      <w:pPr>
        <w:spacing w:line="600" w:lineRule="exact"/>
        <w:rPr>
          <w:rFonts w:eastAsia="黑体"/>
          <w:sz w:val="32"/>
          <w:szCs w:val="32"/>
        </w:rPr>
      </w:pPr>
    </w:p>
    <w:p>
      <w:pPr>
        <w:spacing w:line="600" w:lineRule="exact"/>
        <w:rPr>
          <w:rFonts w:eastAsia="黑体"/>
          <w:sz w:val="32"/>
          <w:szCs w:val="32"/>
        </w:rPr>
      </w:pPr>
    </w:p>
    <w:p>
      <w:pPr>
        <w:jc w:val="center"/>
        <w:rPr>
          <w:rFonts w:eastAsia="方正小标宋_GBK"/>
          <w:sz w:val="52"/>
          <w:szCs w:val="52"/>
        </w:rPr>
      </w:pPr>
      <w:r>
        <w:rPr>
          <w:rFonts w:eastAsia="方正小标宋_GBK"/>
          <w:sz w:val="52"/>
          <w:szCs w:val="52"/>
        </w:rPr>
        <w:t>202</w:t>
      </w:r>
      <w:r>
        <w:rPr>
          <w:rFonts w:hint="eastAsia" w:eastAsia="方正小标宋_GBK"/>
          <w:sz w:val="52"/>
          <w:szCs w:val="52"/>
          <w:lang w:val="en-US" w:eastAsia="zh-CN"/>
        </w:rPr>
        <w:t>2</w:t>
      </w:r>
      <w:r>
        <w:rPr>
          <w:rFonts w:hint="eastAsia" w:eastAsia="方正小标宋_GBK" w:cs="方正小标宋_GBK"/>
          <w:sz w:val="52"/>
          <w:szCs w:val="52"/>
        </w:rPr>
        <w:t>年度</w:t>
      </w:r>
      <w:r>
        <w:rPr>
          <w:rFonts w:hint="eastAsia" w:eastAsia="方正小标宋_GBK" w:cs="方正小标宋_GBK"/>
          <w:sz w:val="52"/>
          <w:szCs w:val="52"/>
          <w:lang w:eastAsia="zh-CN"/>
        </w:rPr>
        <w:t>桃源县市场监督管理</w:t>
      </w:r>
      <w:r>
        <w:rPr>
          <w:rFonts w:hint="eastAsia" w:eastAsia="方正小标宋_GBK" w:cs="方正小标宋_GBK"/>
          <w:sz w:val="52"/>
          <w:szCs w:val="52"/>
        </w:rPr>
        <w:t>局整体支出</w:t>
      </w:r>
    </w:p>
    <w:p>
      <w:pPr>
        <w:jc w:val="center"/>
        <w:rPr>
          <w:rFonts w:eastAsia="方正小标宋_GBK"/>
          <w:sz w:val="52"/>
          <w:szCs w:val="52"/>
        </w:rPr>
      </w:pPr>
      <w:r>
        <w:rPr>
          <w:rFonts w:hint="eastAsia" w:eastAsia="方正小标宋_GBK" w:cs="方正小标宋_GBK"/>
          <w:sz w:val="52"/>
          <w:szCs w:val="52"/>
        </w:rPr>
        <w:t>绩效自评报告</w:t>
      </w:r>
    </w:p>
    <w:p>
      <w:pPr>
        <w:jc w:val="center"/>
        <w:rPr>
          <w:rFonts w:eastAsia="方正小标宋_GBK"/>
          <w:b/>
          <w:bCs/>
          <w:sz w:val="52"/>
          <w:szCs w:val="5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spacing w:line="600" w:lineRule="exact"/>
        <w:ind w:firstLine="1920" w:firstLineChars="600"/>
        <w:rPr>
          <w:rFonts w:hint="eastAsia" w:eastAsia="仿宋"/>
          <w:sz w:val="32"/>
          <w:szCs w:val="32"/>
          <w:u w:val="single"/>
          <w:lang w:eastAsia="zh-CN"/>
        </w:rPr>
      </w:pPr>
      <w:r>
        <w:rPr>
          <w:rFonts w:hint="eastAsia" w:eastAsia="仿宋" w:cs="仿宋"/>
          <w:sz w:val="32"/>
          <w:szCs w:val="32"/>
        </w:rPr>
        <w:t>单位名称：</w:t>
      </w:r>
      <w:r>
        <w:rPr>
          <w:rFonts w:hint="eastAsia" w:eastAsia="仿宋"/>
          <w:sz w:val="32"/>
          <w:szCs w:val="32"/>
          <w:lang w:eastAsia="zh-CN"/>
        </w:rPr>
        <w:t>桃源县市场监督管理局</w:t>
      </w:r>
    </w:p>
    <w:p>
      <w:pPr>
        <w:spacing w:line="600" w:lineRule="exact"/>
        <w:ind w:firstLine="3200" w:firstLineChars="1000"/>
        <w:rPr>
          <w:rFonts w:eastAsia="仿宋"/>
          <w:sz w:val="32"/>
          <w:szCs w:val="32"/>
        </w:rPr>
      </w:pPr>
      <w:r>
        <w:rPr>
          <w:rFonts w:eastAsia="仿宋"/>
          <w:sz w:val="32"/>
          <w:szCs w:val="32"/>
        </w:rPr>
        <w:t>202</w:t>
      </w:r>
      <w:r>
        <w:rPr>
          <w:rFonts w:hint="eastAsia" w:eastAsia="仿宋"/>
          <w:sz w:val="32"/>
          <w:szCs w:val="32"/>
          <w:lang w:val="en-US" w:eastAsia="zh-CN"/>
        </w:rPr>
        <w:t>3</w:t>
      </w:r>
      <w:r>
        <w:rPr>
          <w:rFonts w:hint="eastAsia" w:eastAsia="仿宋" w:cs="仿宋"/>
          <w:sz w:val="32"/>
          <w:szCs w:val="32"/>
        </w:rPr>
        <w:t>年</w:t>
      </w:r>
      <w:r>
        <w:rPr>
          <w:rFonts w:hint="eastAsia" w:eastAsia="仿宋"/>
          <w:sz w:val="32"/>
          <w:szCs w:val="32"/>
          <w:lang w:val="en-US" w:eastAsia="zh-CN"/>
        </w:rPr>
        <w:t>9</w:t>
      </w:r>
      <w:r>
        <w:rPr>
          <w:rFonts w:hint="eastAsia" w:eastAsia="仿宋" w:cs="仿宋"/>
          <w:sz w:val="32"/>
          <w:szCs w:val="32"/>
        </w:rPr>
        <w:t>月</w:t>
      </w:r>
      <w:r>
        <w:rPr>
          <w:rFonts w:eastAsia="仿宋"/>
          <w:sz w:val="32"/>
          <w:szCs w:val="32"/>
        </w:rPr>
        <w:t>28</w:t>
      </w:r>
      <w:r>
        <w:rPr>
          <w:rFonts w:hint="eastAsia" w:eastAsia="仿宋" w:cs="仿宋"/>
          <w:sz w:val="32"/>
          <w:szCs w:val="32"/>
        </w:rPr>
        <w:t>日</w:t>
      </w: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2</w:t>
      </w:r>
      <w:r>
        <w:rPr>
          <w:rFonts w:hint="eastAsia" w:eastAsia="方正小标宋_GBK" w:cs="方正小标宋_GBK"/>
          <w:sz w:val="44"/>
          <w:szCs w:val="44"/>
        </w:rPr>
        <w:t>年度</w:t>
      </w:r>
      <w:r>
        <w:rPr>
          <w:rFonts w:hint="eastAsia" w:eastAsia="方正小标宋_GBK"/>
          <w:sz w:val="44"/>
          <w:szCs w:val="44"/>
          <w:lang w:eastAsia="zh-CN"/>
        </w:rPr>
        <w:t>桃源县市场监督管理局</w:t>
      </w:r>
      <w:r>
        <w:rPr>
          <w:rFonts w:hint="eastAsia" w:eastAsia="方正小标宋_GBK" w:cs="方正小标宋_GBK"/>
          <w:sz w:val="44"/>
          <w:szCs w:val="44"/>
        </w:rPr>
        <w:t>整体支出</w:t>
      </w:r>
    </w:p>
    <w:p>
      <w:pPr>
        <w:spacing w:line="560" w:lineRule="exact"/>
        <w:jc w:val="center"/>
        <w:rPr>
          <w:rFonts w:eastAsia="方正小标宋_GBK"/>
          <w:sz w:val="44"/>
          <w:szCs w:val="44"/>
        </w:rPr>
      </w:pPr>
      <w:r>
        <w:rPr>
          <w:rFonts w:hint="eastAsia" w:eastAsia="方正小标宋_GBK" w:cs="方正小标宋_GBK"/>
          <w:sz w:val="44"/>
          <w:szCs w:val="44"/>
        </w:rPr>
        <w:t>绩效自评报告</w:t>
      </w:r>
    </w:p>
    <w:p>
      <w:pPr>
        <w:spacing w:line="560" w:lineRule="exact"/>
        <w:rPr>
          <w:rFonts w:eastAsia="黑体"/>
          <w:sz w:val="32"/>
          <w:szCs w:val="32"/>
        </w:rPr>
      </w:pPr>
    </w:p>
    <w:p>
      <w:pPr>
        <w:keepNext w:val="0"/>
        <w:keepLines w:val="0"/>
        <w:pageBreakBefore w:val="0"/>
        <w:kinsoku/>
        <w:wordWrap/>
        <w:overflowPunct/>
        <w:topLinePunct w:val="0"/>
        <w:bidi w:val="0"/>
        <w:snapToGrid/>
        <w:spacing w:line="600" w:lineRule="exact"/>
        <w:ind w:firstLine="640" w:firstLineChars="200"/>
        <w:rPr>
          <w:rFonts w:eastAsia="黑体"/>
          <w:sz w:val="32"/>
          <w:szCs w:val="32"/>
        </w:rPr>
      </w:pPr>
      <w:r>
        <w:rPr>
          <w:rFonts w:hint="eastAsia" w:eastAsia="黑体" w:cs="黑体"/>
          <w:sz w:val="32"/>
          <w:szCs w:val="32"/>
        </w:rPr>
        <w:t>一、部门（单位）基本情况</w:t>
      </w:r>
    </w:p>
    <w:p>
      <w:pPr>
        <w:keepNext w:val="0"/>
        <w:keepLines w:val="0"/>
        <w:pageBreakBefore w:val="0"/>
        <w:widowControl/>
        <w:kinsoku/>
        <w:wordWrap/>
        <w:overflowPunct/>
        <w:topLinePunct w:val="0"/>
        <w:bidi w:val="0"/>
        <w:snapToGrid/>
        <w:spacing w:line="600" w:lineRule="exact"/>
        <w:ind w:firstLine="640" w:firstLineChars="200"/>
        <w:rPr>
          <w:rFonts w:eastAsia="楷体_GB2312"/>
          <w:sz w:val="32"/>
          <w:szCs w:val="32"/>
        </w:rPr>
      </w:pPr>
      <w:r>
        <w:rPr>
          <w:rFonts w:hint="eastAsia" w:eastAsia="楷体_GB2312" w:cs="楷体_GB2312"/>
          <w:sz w:val="32"/>
          <w:szCs w:val="32"/>
        </w:rPr>
        <w:t>（一）机构、人员构成</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sz w:val="32"/>
          <w:szCs w:val="32"/>
        </w:rPr>
        <w:t>桃源县市场监督管理局属行政单位</w:t>
      </w:r>
      <w:r>
        <w:rPr>
          <w:rFonts w:hint="eastAsia" w:cs="仿宋_GB2312"/>
          <w:sz w:val="32"/>
          <w:szCs w:val="32"/>
        </w:rPr>
        <w:t>，2022年桃源县市场监督管理局内设机构包括：本局内设19个职能股室（办公室（信息中心）、办公室（人事）、办公室（财务）、法规股、登记注册股（行政审批服务办公室）、网络交易监督管理股（市场规范管理股）、信用监督管理股（产品质量安全监督管理股）、消费者权益保护股（投诉举报中心）、知识产权管理股（广告监督管理股）、食品安全监督管理股（应急管理股）、食品安全监督管事股（生产）、食品安全监督管事股（经营）、药品医疗器械化妆品监管股、特种设备安全监察股（安全生产办）、标准计量股、机关党委副书记联系个私协、离退休人员服务办、个私协、离退休人员服务办公室、机关工会、后勤、消委、监察室，3个直属事业单位（综合执法局（原执法队）、检验检测中心、信息中心）、6个基层所（浔阳所、漳江所、陬市所、龙潭所（原理公港所）、漆河所、茶庵铺所）</w:t>
      </w:r>
      <w:r>
        <w:rPr>
          <w:rFonts w:hint="eastAsia" w:cs="仿宋_GB2312"/>
          <w:sz w:val="32"/>
          <w:szCs w:val="32"/>
          <w:lang w:eastAsia="zh-CN"/>
        </w:rPr>
        <w:t>。</w:t>
      </w:r>
      <w:r>
        <w:rPr>
          <w:rFonts w:hint="eastAsia" w:cs="仿宋_GB2312"/>
          <w:sz w:val="32"/>
          <w:szCs w:val="32"/>
        </w:rPr>
        <w:t>现有编制300人，其中：行政编制167人，工勤编制24人，事业编制109人（其中锁定事业编制73人），截止</w:t>
      </w:r>
      <w:r>
        <w:rPr>
          <w:sz w:val="32"/>
          <w:szCs w:val="32"/>
        </w:rPr>
        <w:t>202</w:t>
      </w:r>
      <w:r>
        <w:rPr>
          <w:rFonts w:hint="eastAsia"/>
          <w:sz w:val="32"/>
          <w:szCs w:val="32"/>
          <w:lang w:val="en-US" w:eastAsia="zh-CN"/>
        </w:rPr>
        <w:t>2</w:t>
      </w:r>
      <w:r>
        <w:rPr>
          <w:rFonts w:hint="eastAsia" w:cs="仿宋_GB2312"/>
          <w:sz w:val="32"/>
          <w:szCs w:val="32"/>
        </w:rPr>
        <w:t>年</w:t>
      </w:r>
      <w:r>
        <w:rPr>
          <w:sz w:val="32"/>
          <w:szCs w:val="32"/>
        </w:rPr>
        <w:t>12</w:t>
      </w:r>
      <w:r>
        <w:rPr>
          <w:rFonts w:hint="eastAsia" w:cs="仿宋_GB2312"/>
          <w:sz w:val="32"/>
          <w:szCs w:val="32"/>
        </w:rPr>
        <w:t>月份实有在职人员228人（行政人员150人，机关后勤12人，事业人员66人），离休人员2人，退休172人，离休配偶及遗属24人，再就业对象1人。纳入</w:t>
      </w:r>
      <w:r>
        <w:rPr>
          <w:sz w:val="32"/>
          <w:szCs w:val="32"/>
        </w:rPr>
        <w:t>202</w:t>
      </w:r>
      <w:r>
        <w:rPr>
          <w:rFonts w:hint="eastAsia"/>
          <w:sz w:val="32"/>
          <w:szCs w:val="32"/>
          <w:lang w:val="en-US" w:eastAsia="zh-CN"/>
        </w:rPr>
        <w:t>2</w:t>
      </w:r>
      <w:r>
        <w:rPr>
          <w:rFonts w:hint="eastAsia" w:cs="仿宋_GB2312"/>
          <w:sz w:val="32"/>
          <w:szCs w:val="32"/>
        </w:rPr>
        <w:t>年部门整体支出绩效评价范围的预算单位包括：</w:t>
      </w:r>
      <w:r>
        <w:rPr>
          <w:rFonts w:hint="eastAsia"/>
          <w:sz w:val="32"/>
          <w:szCs w:val="32"/>
        </w:rPr>
        <w:t>桃源县市场监督管理局部门本级</w:t>
      </w:r>
      <w:r>
        <w:rPr>
          <w:rFonts w:hint="eastAsia"/>
          <w:sz w:val="32"/>
          <w:szCs w:val="32"/>
          <w:lang w:eastAsia="zh-CN"/>
        </w:rPr>
        <w:t>、</w:t>
      </w:r>
      <w:r>
        <w:rPr>
          <w:rFonts w:hint="eastAsia" w:cs="仿宋_GB2312"/>
          <w:sz w:val="32"/>
          <w:szCs w:val="32"/>
        </w:rPr>
        <w:t>桃源县市场监管综合行政执法局、桃源县市场监督管理检测检验中心、桃源县浔阳市场监督管理所、桃源县漳江市场监督管理所、桃源县陬市市场监督管理所、桃源县漆河市场监督管理所、桃源县龙潭市场监督管理所、桃源县茶庵铺市场监督管理所、桃源县三阳港市场监督管理所。</w:t>
      </w:r>
    </w:p>
    <w:p>
      <w:pPr>
        <w:keepNext w:val="0"/>
        <w:keepLines w:val="0"/>
        <w:pageBreakBefore w:val="0"/>
        <w:widowControl/>
        <w:kinsoku/>
        <w:wordWrap/>
        <w:overflowPunct/>
        <w:topLinePunct w:val="0"/>
        <w:bidi w:val="0"/>
        <w:snapToGrid/>
        <w:spacing w:line="600" w:lineRule="exact"/>
        <w:ind w:firstLine="640" w:firstLineChars="200"/>
        <w:rPr>
          <w:rFonts w:eastAsia="楷体_GB2312"/>
          <w:sz w:val="32"/>
          <w:szCs w:val="32"/>
        </w:rPr>
      </w:pPr>
      <w:r>
        <w:rPr>
          <w:rFonts w:hint="eastAsia" w:eastAsia="楷体_GB2312" w:cs="楷体_GB2312"/>
          <w:sz w:val="32"/>
          <w:szCs w:val="32"/>
        </w:rPr>
        <w:t>（二）单位主要职责</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桃源县市场监督管理局是全县市场监督管理并行使行政执法职能的机构，主要职责：</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1.承担辖区内市场主体的注册登记，对个体工商户、企业行为的监督管理。对商标注册管理广告活动监督管理，反垄断执法工作，查处传销和违法直销案件，查处不正当竞争、商业贿赂违法行为，监督管理市场交易行为、网络交易行为和有关服务行为，监督管理拍卖、经纪活动和合同行政管理。</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2.承担辖区内消费者权益保护工作。</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3.承担辖区内食品安全监督管理工作、药品、化妆品、医疗器械、医疗机构制剂的监督管理。</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4.配合有关部门实施国家基本药物制度，承担药学人员继续教育有关工作。</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5.承担辖区内质量监督管理工作。</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6.承担辖区内质量管理体系认证获证企业及强制性认证产品监督管理工作、查处认证违法行为。</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7.承担辖区内计量管理工作。</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8.承担辖区内标准化管理工作。</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9.承担辖区内特种设备安全监察工作。</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10.查处辖区内制售假冒伪劣商品违法行为。</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11.承担辖区内酒类管理工作。</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12.承担辖区内专利申请、知识产权管理工作，查处辖区内价格违法行为。</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13.承担并落实本部门职责范围内安全生产监督管理责任。</w:t>
      </w:r>
    </w:p>
    <w:p>
      <w:pPr>
        <w:keepNext w:val="0"/>
        <w:keepLines w:val="0"/>
        <w:pageBreakBefore w:val="0"/>
        <w:widowControl/>
        <w:kinsoku/>
        <w:wordWrap/>
        <w:overflowPunct/>
        <w:topLinePunct w:val="0"/>
        <w:bidi w:val="0"/>
        <w:snapToGrid/>
        <w:spacing w:line="600" w:lineRule="exact"/>
        <w:ind w:firstLine="640" w:firstLineChars="200"/>
        <w:rPr>
          <w:rFonts w:hint="eastAsia" w:cs="仿宋_GB2312"/>
          <w:sz w:val="32"/>
          <w:szCs w:val="32"/>
        </w:rPr>
      </w:pPr>
      <w:r>
        <w:rPr>
          <w:rFonts w:hint="eastAsia" w:cs="仿宋_GB2312"/>
          <w:sz w:val="32"/>
          <w:szCs w:val="32"/>
        </w:rPr>
        <w:t>14.承办县委、县人民政府交办的其他事项。</w:t>
      </w:r>
    </w:p>
    <w:p>
      <w:pPr>
        <w:keepNext w:val="0"/>
        <w:keepLines w:val="0"/>
        <w:pageBreakBefore w:val="0"/>
        <w:widowControl/>
        <w:kinsoku/>
        <w:wordWrap/>
        <w:overflowPunct/>
        <w:topLinePunct w:val="0"/>
        <w:bidi w:val="0"/>
        <w:snapToGrid/>
        <w:spacing w:line="600" w:lineRule="exact"/>
        <w:ind w:firstLine="640" w:firstLineChars="200"/>
        <w:rPr>
          <w:rFonts w:eastAsia="楷体_GB2312"/>
          <w:sz w:val="32"/>
          <w:szCs w:val="32"/>
        </w:rPr>
      </w:pPr>
      <w:r>
        <w:rPr>
          <w:rFonts w:hint="eastAsia" w:eastAsia="楷体_GB2312" w:cs="楷体_GB2312"/>
          <w:sz w:val="32"/>
          <w:szCs w:val="32"/>
        </w:rPr>
        <w:t>（三）部门财务情况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sz w:val="32"/>
          <w:szCs w:val="32"/>
        </w:rPr>
      </w:pPr>
      <w:r>
        <w:rPr>
          <w:sz w:val="32"/>
          <w:szCs w:val="32"/>
        </w:rPr>
        <w:t xml:space="preserve">1. </w:t>
      </w:r>
      <w:r>
        <w:rPr>
          <w:rFonts w:hint="eastAsia" w:cs="仿宋_GB2312"/>
          <w:sz w:val="32"/>
          <w:szCs w:val="32"/>
        </w:rPr>
        <w:t>资产负债及净资产情况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eastAsia="宋体"/>
          <w:sz w:val="32"/>
          <w:szCs w:val="32"/>
          <w:lang w:val="en-US" w:eastAsia="zh-CN"/>
        </w:rPr>
      </w:pPr>
      <w:r>
        <w:rPr>
          <w:sz w:val="32"/>
          <w:szCs w:val="32"/>
        </w:rPr>
        <w:t>2022</w:t>
      </w:r>
      <w:r>
        <w:rPr>
          <w:rFonts w:hint="eastAsia" w:cs="仿宋_GB2312"/>
          <w:sz w:val="32"/>
          <w:szCs w:val="32"/>
        </w:rPr>
        <w:t>年</w:t>
      </w:r>
      <w:r>
        <w:rPr>
          <w:sz w:val="32"/>
          <w:szCs w:val="32"/>
        </w:rPr>
        <w:t>12</w:t>
      </w:r>
      <w:r>
        <w:rPr>
          <w:rFonts w:hint="eastAsia" w:cs="仿宋_GB2312"/>
          <w:sz w:val="32"/>
          <w:szCs w:val="32"/>
        </w:rPr>
        <w:t>月</w:t>
      </w:r>
      <w:r>
        <w:rPr>
          <w:sz w:val="32"/>
          <w:szCs w:val="32"/>
        </w:rPr>
        <w:t>31</w:t>
      </w:r>
      <w:r>
        <w:rPr>
          <w:rFonts w:hint="eastAsia" w:cs="仿宋_GB2312"/>
          <w:sz w:val="32"/>
          <w:szCs w:val="32"/>
        </w:rPr>
        <w:t>日单位资产总额</w:t>
      </w:r>
      <w:r>
        <w:rPr>
          <w:rFonts w:hint="eastAsia"/>
          <w:color w:val="000000"/>
          <w:sz w:val="32"/>
          <w:szCs w:val="32"/>
          <w:lang w:val="en-US" w:eastAsia="zh-CN"/>
        </w:rPr>
        <w:t>1428.48</w:t>
      </w:r>
      <w:r>
        <w:rPr>
          <w:rFonts w:hint="eastAsia" w:cs="仿宋_GB2312"/>
          <w:sz w:val="32"/>
          <w:szCs w:val="32"/>
        </w:rPr>
        <w:t>万元，其中：流动资产</w:t>
      </w:r>
      <w:r>
        <w:rPr>
          <w:rFonts w:hint="eastAsia"/>
          <w:color w:val="000000"/>
          <w:sz w:val="32"/>
          <w:szCs w:val="32"/>
          <w:lang w:val="en-US" w:eastAsia="zh-CN"/>
        </w:rPr>
        <w:t>34.3</w:t>
      </w:r>
      <w:r>
        <w:rPr>
          <w:rFonts w:hint="eastAsia" w:cs="仿宋_GB2312"/>
          <w:sz w:val="32"/>
          <w:szCs w:val="32"/>
        </w:rPr>
        <w:t>万元、非流动资产</w:t>
      </w:r>
      <w:r>
        <w:rPr>
          <w:rFonts w:hint="eastAsia"/>
          <w:color w:val="000000"/>
          <w:sz w:val="32"/>
          <w:szCs w:val="32"/>
          <w:lang w:val="en-US" w:eastAsia="zh-CN"/>
        </w:rPr>
        <w:t>1394.18</w:t>
      </w:r>
      <w:r>
        <w:rPr>
          <w:rFonts w:hint="eastAsia" w:cs="仿宋_GB2312"/>
          <w:sz w:val="32"/>
          <w:szCs w:val="32"/>
        </w:rPr>
        <w:t>万元，负债总额</w:t>
      </w:r>
      <w:r>
        <w:rPr>
          <w:rFonts w:hint="eastAsia"/>
          <w:color w:val="000000"/>
          <w:sz w:val="32"/>
          <w:szCs w:val="32"/>
          <w:lang w:val="en-US" w:eastAsia="zh-CN"/>
        </w:rPr>
        <w:t>48.53</w:t>
      </w:r>
      <w:r>
        <w:rPr>
          <w:rFonts w:hint="eastAsia" w:cs="仿宋_GB2312"/>
          <w:sz w:val="32"/>
          <w:szCs w:val="32"/>
        </w:rPr>
        <w:t>万元，净资产总额</w:t>
      </w:r>
      <w:r>
        <w:rPr>
          <w:rFonts w:hint="eastAsia"/>
          <w:color w:val="000000"/>
          <w:sz w:val="32"/>
          <w:szCs w:val="32"/>
          <w:lang w:val="en-US" w:eastAsia="zh-CN"/>
        </w:rPr>
        <w:t>1379.95</w:t>
      </w:r>
      <w:r>
        <w:rPr>
          <w:rFonts w:hint="eastAsia" w:cs="仿宋_GB2312"/>
          <w:sz w:val="32"/>
          <w:szCs w:val="32"/>
        </w:rPr>
        <w:t>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rPr>
          <w:rFonts w:hint="default" w:eastAsia="仿宋_GB2312"/>
          <w:sz w:val="32"/>
          <w:szCs w:val="32"/>
          <w:lang w:val="en-US" w:eastAsia="zh-CN"/>
        </w:rPr>
      </w:pPr>
      <w:r>
        <w:rPr>
          <w:sz w:val="32"/>
          <w:szCs w:val="32"/>
        </w:rPr>
        <w:t xml:space="preserve">2. </w:t>
      </w:r>
      <w:r>
        <w:rPr>
          <w:rFonts w:hint="eastAsia" w:cs="仿宋_GB2312"/>
          <w:sz w:val="32"/>
          <w:szCs w:val="32"/>
        </w:rPr>
        <w:t>部门整体收支情况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202</w:t>
      </w:r>
      <w:r>
        <w:rPr>
          <w:rFonts w:hint="eastAsia" w:ascii="Times New Roman" w:hAnsi="Times New Roman" w:eastAsia="仿宋_GB2312"/>
          <w:color w:val="000000" w:themeColor="text1"/>
          <w:sz w:val="32"/>
          <w:szCs w:val="32"/>
          <w:lang w:val="en-US" w:eastAsia="zh-CN"/>
        </w:rPr>
        <w:t>2</w:t>
      </w:r>
      <w:r>
        <w:rPr>
          <w:rFonts w:ascii="Times New Roman" w:hAnsi="Times New Roman" w:eastAsia="仿宋_GB2312"/>
          <w:color w:val="000000" w:themeColor="text1"/>
          <w:sz w:val="32"/>
          <w:szCs w:val="32"/>
        </w:rPr>
        <w:t>年部门年初预算收入（含所属二级预算单位）</w:t>
      </w:r>
      <w:r>
        <w:rPr>
          <w:rFonts w:hint="eastAsia" w:ascii="Times New Roman" w:hAnsi="Times New Roman"/>
          <w:color w:val="000000" w:themeColor="text1"/>
          <w:sz w:val="32"/>
          <w:szCs w:val="32"/>
          <w:lang w:val="en-US" w:eastAsia="zh-CN"/>
        </w:rPr>
        <w:t>4179.83</w:t>
      </w:r>
      <w:r>
        <w:rPr>
          <w:rFonts w:ascii="Times New Roman" w:hAnsi="Times New Roman" w:eastAsia="仿宋_GB2312"/>
          <w:color w:val="000000" w:themeColor="text1"/>
          <w:sz w:val="32"/>
          <w:szCs w:val="32"/>
        </w:rPr>
        <w:t>万元，年内调整预算</w:t>
      </w:r>
      <w:r>
        <w:rPr>
          <w:rFonts w:hint="eastAsia" w:ascii="Times New Roman" w:hAnsi="Times New Roman"/>
          <w:color w:val="000000" w:themeColor="text1"/>
          <w:sz w:val="32"/>
          <w:szCs w:val="32"/>
          <w:lang w:val="en-US" w:eastAsia="zh-CN"/>
        </w:rPr>
        <w:t>889.75</w:t>
      </w:r>
      <w:r>
        <w:rPr>
          <w:rFonts w:ascii="Times New Roman" w:hAnsi="Times New Roman" w:eastAsia="仿宋_GB2312"/>
          <w:color w:val="000000" w:themeColor="text1"/>
          <w:sz w:val="32"/>
          <w:szCs w:val="32"/>
        </w:rPr>
        <w:t>万元，决算收入</w:t>
      </w:r>
      <w:r>
        <w:rPr>
          <w:rFonts w:hint="eastAsia" w:ascii="Times New Roman" w:hAnsi="Times New Roman"/>
          <w:color w:val="000000" w:themeColor="text1"/>
          <w:sz w:val="32"/>
          <w:szCs w:val="32"/>
          <w:lang w:val="en-US" w:eastAsia="zh-CN"/>
        </w:rPr>
        <w:t>5069.58</w:t>
      </w:r>
      <w:r>
        <w:rPr>
          <w:rFonts w:ascii="Times New Roman" w:hAnsi="Times New Roman" w:eastAsia="仿宋_GB2312"/>
          <w:color w:val="000000" w:themeColor="text1"/>
          <w:sz w:val="32"/>
          <w:szCs w:val="32"/>
        </w:rPr>
        <w:t>万元，其中：一般公共预算</w:t>
      </w:r>
      <w:r>
        <w:rPr>
          <w:rFonts w:hint="eastAsia" w:ascii="Times New Roman" w:hAnsi="Times New Roman"/>
          <w:color w:val="000000" w:themeColor="text1"/>
          <w:sz w:val="32"/>
          <w:szCs w:val="32"/>
          <w:lang w:val="en-US" w:eastAsia="zh-CN"/>
        </w:rPr>
        <w:t>4450.83</w:t>
      </w:r>
      <w:r>
        <w:rPr>
          <w:rFonts w:ascii="Times New Roman" w:hAnsi="Times New Roman" w:eastAsia="仿宋_GB2312"/>
          <w:color w:val="000000" w:themeColor="text1"/>
          <w:sz w:val="32"/>
          <w:szCs w:val="32"/>
        </w:rPr>
        <w:t>万元、政府性基金预算</w:t>
      </w:r>
      <w:r>
        <w:rPr>
          <w:rFonts w:hint="eastAsia" w:ascii="Times New Roman" w:hAnsi="Times New Roman" w:eastAsia="仿宋_GB2312"/>
          <w:color w:val="000000" w:themeColor="text1"/>
          <w:sz w:val="32"/>
          <w:szCs w:val="32"/>
          <w:lang w:val="en-US" w:eastAsia="zh-CN"/>
        </w:rPr>
        <w:t>0</w:t>
      </w:r>
      <w:r>
        <w:rPr>
          <w:rFonts w:ascii="Times New Roman" w:hAnsi="Times New Roman" w:eastAsia="仿宋_GB2312"/>
          <w:color w:val="000000" w:themeColor="text1"/>
          <w:sz w:val="32"/>
          <w:szCs w:val="32"/>
        </w:rPr>
        <w:t>万元、国有资本经营预算</w:t>
      </w:r>
      <w:r>
        <w:rPr>
          <w:rFonts w:hint="eastAsia" w:ascii="Times New Roman" w:hAnsi="Times New Roman" w:eastAsia="仿宋_GB2312"/>
          <w:color w:val="000000" w:themeColor="text1"/>
          <w:sz w:val="32"/>
          <w:szCs w:val="32"/>
          <w:lang w:val="en-US" w:eastAsia="zh-CN"/>
        </w:rPr>
        <w:t>0</w:t>
      </w:r>
      <w:r>
        <w:rPr>
          <w:rFonts w:ascii="Times New Roman" w:hAnsi="Times New Roman" w:eastAsia="仿宋_GB2312"/>
          <w:color w:val="000000" w:themeColor="text1"/>
          <w:sz w:val="32"/>
          <w:szCs w:val="32"/>
        </w:rPr>
        <w:t>万元、事业收入</w:t>
      </w:r>
      <w:r>
        <w:rPr>
          <w:rFonts w:hint="eastAsia" w:ascii="Times New Roman" w:hAnsi="Times New Roman" w:eastAsia="仿宋_GB2312"/>
          <w:color w:val="000000" w:themeColor="text1"/>
          <w:sz w:val="32"/>
          <w:szCs w:val="32"/>
          <w:lang w:val="en-US" w:eastAsia="zh-CN"/>
        </w:rPr>
        <w:t>0</w:t>
      </w:r>
      <w:r>
        <w:rPr>
          <w:rFonts w:ascii="Times New Roman" w:hAnsi="Times New Roman" w:eastAsia="仿宋_GB2312"/>
          <w:color w:val="000000" w:themeColor="text1"/>
          <w:sz w:val="32"/>
          <w:szCs w:val="32"/>
        </w:rPr>
        <w:t>万元</w:t>
      </w:r>
      <w:r>
        <w:rPr>
          <w:rFonts w:hint="eastAsia" w:ascii="Times New Roman" w:hAnsi="Times New Roman"/>
          <w:color w:val="000000" w:themeColor="text1"/>
          <w:sz w:val="32"/>
          <w:szCs w:val="32"/>
          <w:lang w:val="en-US" w:eastAsia="zh-CN"/>
        </w:rPr>
        <w:t>,其他收入244.08万元</w:t>
      </w:r>
      <w:r>
        <w:rPr>
          <w:rFonts w:hint="eastAsia" w:ascii="Times New Roman" w:hAnsi="Times New Roman"/>
          <w:color w:val="000000" w:themeColor="text1"/>
          <w:sz w:val="32"/>
          <w:szCs w:val="32"/>
          <w:lang w:eastAsia="zh-CN"/>
        </w:rPr>
        <w:t>。</w:t>
      </w:r>
      <w:r>
        <w:rPr>
          <w:rFonts w:ascii="Times New Roman" w:hAnsi="Times New Roman" w:eastAsia="仿宋_GB2312"/>
          <w:color w:val="000000" w:themeColor="text1"/>
          <w:sz w:val="32"/>
          <w:szCs w:val="32"/>
        </w:rPr>
        <w:t>上年结转</w:t>
      </w:r>
      <w:r>
        <w:rPr>
          <w:rFonts w:hint="eastAsia" w:ascii="Times New Roman" w:hAnsi="Times New Roman"/>
          <w:color w:val="000000" w:themeColor="text1"/>
          <w:sz w:val="32"/>
          <w:szCs w:val="32"/>
          <w:lang w:val="en-US" w:eastAsia="zh-CN"/>
        </w:rPr>
        <w:t>374.68</w:t>
      </w:r>
      <w:r>
        <w:rPr>
          <w:rFonts w:ascii="Times New Roman" w:hAnsi="Times New Roman" w:eastAsia="仿宋_GB2312"/>
          <w:color w:val="000000" w:themeColor="text1"/>
          <w:sz w:val="32"/>
          <w:szCs w:val="32"/>
        </w:rPr>
        <w:t>万元</w:t>
      </w:r>
      <w:r>
        <w:rPr>
          <w:rFonts w:hint="eastAsia" w:ascii="Times New Roman" w:hAnsi="Times New Roman"/>
          <w:color w:val="000000" w:themeColor="text1"/>
          <w:sz w:val="32"/>
          <w:szCs w:val="32"/>
          <w:lang w:eastAsia="zh-CN"/>
        </w:rPr>
        <w:t>，</w:t>
      </w:r>
      <w:r>
        <w:rPr>
          <w:rFonts w:ascii="Times New Roman" w:hAnsi="Times New Roman" w:eastAsia="仿宋_GB2312"/>
          <w:color w:val="000000" w:themeColor="text1"/>
          <w:sz w:val="32"/>
          <w:szCs w:val="32"/>
        </w:rPr>
        <w:t>全年可执行预算合计</w:t>
      </w:r>
      <w:r>
        <w:rPr>
          <w:rFonts w:hint="eastAsia" w:ascii="Times New Roman" w:hAnsi="Times New Roman"/>
          <w:color w:val="000000" w:themeColor="text1"/>
          <w:sz w:val="32"/>
          <w:szCs w:val="32"/>
          <w:lang w:val="en-US" w:eastAsia="zh-CN"/>
        </w:rPr>
        <w:t>5069.58</w:t>
      </w:r>
      <w:r>
        <w:rPr>
          <w:rFonts w:ascii="Times New Roman" w:hAnsi="Times New Roman" w:eastAsia="仿宋_GB2312"/>
          <w:color w:val="000000" w:themeColor="text1"/>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20</w:t>
      </w:r>
      <w:r>
        <w:rPr>
          <w:rFonts w:hint="eastAsia" w:ascii="Times New Roman" w:hAnsi="Times New Roman" w:eastAsia="仿宋_GB2312"/>
          <w:color w:val="000000" w:themeColor="text1"/>
          <w:sz w:val="32"/>
          <w:szCs w:val="32"/>
          <w:lang w:val="en-US" w:eastAsia="zh-CN"/>
        </w:rPr>
        <w:t>22</w:t>
      </w:r>
      <w:r>
        <w:rPr>
          <w:rFonts w:ascii="Times New Roman" w:hAnsi="Times New Roman" w:eastAsia="仿宋_GB2312"/>
          <w:color w:val="000000" w:themeColor="text1"/>
          <w:sz w:val="32"/>
          <w:szCs w:val="32"/>
        </w:rPr>
        <w:t>年部门年初预算支出</w:t>
      </w:r>
      <w:r>
        <w:rPr>
          <w:rFonts w:hint="eastAsia" w:ascii="Times New Roman" w:hAnsi="Times New Roman"/>
          <w:color w:val="000000" w:themeColor="text1"/>
          <w:sz w:val="32"/>
          <w:szCs w:val="32"/>
          <w:lang w:val="en-US" w:eastAsia="zh-CN"/>
        </w:rPr>
        <w:t>4179.83</w:t>
      </w:r>
      <w:r>
        <w:rPr>
          <w:rFonts w:ascii="Times New Roman" w:hAnsi="Times New Roman" w:eastAsia="仿宋_GB2312"/>
          <w:color w:val="000000" w:themeColor="text1"/>
          <w:sz w:val="32"/>
          <w:szCs w:val="32"/>
        </w:rPr>
        <w:t>万元，其中：基本支出</w:t>
      </w:r>
      <w:r>
        <w:rPr>
          <w:rFonts w:hint="eastAsia" w:ascii="Times New Roman" w:hAnsi="Times New Roman"/>
          <w:color w:val="000000" w:themeColor="text1"/>
          <w:sz w:val="32"/>
          <w:szCs w:val="32"/>
          <w:lang w:val="en-US" w:eastAsia="zh-CN"/>
        </w:rPr>
        <w:t>3216.01</w:t>
      </w:r>
      <w:r>
        <w:rPr>
          <w:rFonts w:ascii="Times New Roman" w:hAnsi="Times New Roman" w:eastAsia="仿宋_GB2312"/>
          <w:color w:val="000000" w:themeColor="text1"/>
          <w:sz w:val="32"/>
          <w:szCs w:val="32"/>
        </w:rPr>
        <w:t>万元，项目支出</w:t>
      </w:r>
      <w:r>
        <w:rPr>
          <w:rFonts w:hint="eastAsia" w:ascii="Times New Roman" w:hAnsi="Times New Roman"/>
          <w:color w:val="000000" w:themeColor="text1"/>
          <w:sz w:val="32"/>
          <w:szCs w:val="32"/>
          <w:lang w:val="en-US" w:eastAsia="zh-CN"/>
        </w:rPr>
        <w:t>963.82</w:t>
      </w:r>
      <w:r>
        <w:rPr>
          <w:rFonts w:ascii="Times New Roman" w:hAnsi="Times New Roman" w:eastAsia="仿宋_GB2312"/>
          <w:color w:val="000000" w:themeColor="text1"/>
          <w:sz w:val="32"/>
          <w:szCs w:val="32"/>
        </w:rPr>
        <w:t>万</w:t>
      </w:r>
      <w:bookmarkStart w:id="0" w:name="_GoBack"/>
      <w:bookmarkEnd w:id="0"/>
      <w:r>
        <w:rPr>
          <w:rFonts w:ascii="Times New Roman" w:hAnsi="Times New Roman" w:eastAsia="仿宋_GB2312"/>
          <w:color w:val="000000" w:themeColor="text1"/>
          <w:sz w:val="32"/>
          <w:szCs w:val="32"/>
        </w:rPr>
        <w:t>元。部门决算支出</w:t>
      </w:r>
      <w:r>
        <w:rPr>
          <w:rFonts w:hint="eastAsia" w:ascii="Times New Roman" w:hAnsi="Times New Roman"/>
          <w:color w:val="000000" w:themeColor="text1"/>
          <w:sz w:val="32"/>
          <w:szCs w:val="32"/>
          <w:lang w:val="en-US" w:eastAsia="zh-CN"/>
        </w:rPr>
        <w:t>5069.58</w:t>
      </w:r>
      <w:r>
        <w:rPr>
          <w:rFonts w:ascii="Times New Roman" w:hAnsi="Times New Roman" w:eastAsia="仿宋_GB2312"/>
          <w:color w:val="000000" w:themeColor="text1"/>
          <w:sz w:val="32"/>
          <w:szCs w:val="32"/>
        </w:rPr>
        <w:t>万元，其中：基本支出</w:t>
      </w:r>
      <w:r>
        <w:rPr>
          <w:rFonts w:hint="eastAsia" w:ascii="Times New Roman" w:hAnsi="Times New Roman"/>
          <w:color w:val="000000" w:themeColor="text1"/>
          <w:sz w:val="32"/>
          <w:szCs w:val="32"/>
          <w:lang w:val="en-US" w:eastAsia="zh-CN"/>
        </w:rPr>
        <w:t>3802.06</w:t>
      </w:r>
      <w:r>
        <w:rPr>
          <w:rFonts w:ascii="Times New Roman" w:hAnsi="Times New Roman" w:eastAsia="仿宋_GB2312"/>
          <w:color w:val="000000" w:themeColor="text1"/>
          <w:sz w:val="32"/>
          <w:szCs w:val="32"/>
        </w:rPr>
        <w:t>万元，项目支出</w:t>
      </w:r>
      <w:r>
        <w:rPr>
          <w:rFonts w:hint="eastAsia" w:ascii="Times New Roman" w:hAnsi="Times New Roman"/>
          <w:color w:val="000000" w:themeColor="text1"/>
          <w:sz w:val="32"/>
          <w:szCs w:val="32"/>
          <w:lang w:val="en-US" w:eastAsia="zh-CN"/>
        </w:rPr>
        <w:t>1267.52</w:t>
      </w:r>
      <w:r>
        <w:rPr>
          <w:rFonts w:ascii="Times New Roman" w:hAnsi="Times New Roman" w:eastAsia="仿宋_GB2312"/>
          <w:color w:val="000000" w:themeColor="text1"/>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olor w:val="000000" w:themeColor="text1"/>
          <w:sz w:val="32"/>
          <w:szCs w:val="32"/>
        </w:rPr>
      </w:pPr>
      <w:r>
        <w:rPr>
          <w:rFonts w:ascii="Times New Roman" w:hAnsi="Times New Roman" w:eastAsia="仿宋_GB2312"/>
          <w:color w:val="000000" w:themeColor="text1"/>
          <w:sz w:val="32"/>
          <w:szCs w:val="32"/>
        </w:rPr>
        <w:t>年末结转结余</w:t>
      </w:r>
      <w:r>
        <w:rPr>
          <w:rFonts w:hint="eastAsia" w:ascii="Times New Roman" w:hAnsi="Times New Roman" w:eastAsia="仿宋_GB2312"/>
          <w:color w:val="000000" w:themeColor="text1"/>
          <w:sz w:val="32"/>
          <w:szCs w:val="32"/>
          <w:lang w:val="en-US" w:eastAsia="zh-CN"/>
        </w:rPr>
        <w:t>0</w:t>
      </w:r>
      <w:r>
        <w:rPr>
          <w:rFonts w:ascii="Times New Roman" w:hAnsi="Times New Roman" w:eastAsia="仿宋_GB2312"/>
          <w:color w:val="000000" w:themeColor="text1"/>
          <w:sz w:val="32"/>
          <w:szCs w:val="32"/>
        </w:rPr>
        <w:t>万元，其中基本支出结转</w:t>
      </w:r>
      <w:r>
        <w:rPr>
          <w:rFonts w:hint="eastAsia" w:ascii="Times New Roman" w:hAnsi="Times New Roman" w:eastAsia="仿宋_GB2312"/>
          <w:color w:val="000000" w:themeColor="text1"/>
          <w:sz w:val="32"/>
          <w:szCs w:val="32"/>
          <w:lang w:val="en-US" w:eastAsia="zh-CN"/>
        </w:rPr>
        <w:t>0</w:t>
      </w:r>
      <w:r>
        <w:rPr>
          <w:rFonts w:ascii="Times New Roman" w:hAnsi="Times New Roman" w:eastAsia="仿宋_GB2312"/>
          <w:color w:val="000000" w:themeColor="text1"/>
          <w:sz w:val="32"/>
          <w:szCs w:val="32"/>
        </w:rPr>
        <w:t>万元、项目支出结转结余</w:t>
      </w:r>
      <w:r>
        <w:rPr>
          <w:rFonts w:hint="eastAsia" w:ascii="Times New Roman" w:hAnsi="Times New Roman" w:eastAsia="仿宋_GB2312"/>
          <w:color w:val="000000" w:themeColor="text1"/>
          <w:sz w:val="32"/>
          <w:szCs w:val="32"/>
          <w:lang w:val="en-US" w:eastAsia="zh-CN"/>
        </w:rPr>
        <w:t>0</w:t>
      </w:r>
      <w:r>
        <w:rPr>
          <w:rFonts w:ascii="Times New Roman" w:hAnsi="Times New Roman" w:eastAsia="仿宋_GB2312"/>
          <w:color w:val="000000" w:themeColor="text1"/>
          <w:sz w:val="32"/>
          <w:szCs w:val="32"/>
        </w:rPr>
        <w:t>万元。</w:t>
      </w:r>
    </w:p>
    <w:p>
      <w:pPr>
        <w:pStyle w:val="10"/>
        <w:keepNext w:val="0"/>
        <w:keepLines w:val="0"/>
        <w:pageBreakBefore w:val="0"/>
        <w:numPr>
          <w:numId w:val="0"/>
        </w:numPr>
        <w:kinsoku/>
        <w:wordWrap/>
        <w:overflowPunct/>
        <w:topLinePunct w:val="0"/>
        <w:bidi w:val="0"/>
        <w:snapToGrid/>
        <w:spacing w:line="600" w:lineRule="exact"/>
        <w:ind w:left="600" w:leftChars="0"/>
        <w:rPr>
          <w:rFonts w:hint="eastAsia" w:ascii="Times New Roman" w:hAnsi="Times New Roman" w:eastAsia="仿宋_GB2312" w:cs="仿宋_GB2312"/>
          <w:kern w:val="2"/>
          <w:sz w:val="32"/>
          <w:szCs w:val="32"/>
          <w:lang w:val="en-US" w:eastAsia="zh-CN" w:bidi="ar-SA"/>
        </w:rPr>
      </w:pPr>
      <w:r>
        <w:rPr>
          <w:rFonts w:hint="eastAsia" w:eastAsia="仿宋_GB2312" w:cs="仿宋_GB2312"/>
          <w:kern w:val="2"/>
          <w:sz w:val="32"/>
          <w:szCs w:val="32"/>
          <w:lang w:val="en-US" w:eastAsia="zh-CN" w:bidi="ar-SA"/>
        </w:rPr>
        <w:t>3.</w:t>
      </w:r>
      <w:r>
        <w:rPr>
          <w:rFonts w:hint="eastAsia" w:ascii="Times New Roman" w:hAnsi="Times New Roman" w:eastAsia="仿宋_GB2312" w:cs="仿宋_GB2312"/>
          <w:kern w:val="2"/>
          <w:sz w:val="32"/>
          <w:szCs w:val="32"/>
          <w:lang w:val="en-US" w:eastAsia="zh-CN" w:bidi="ar-SA"/>
        </w:rPr>
        <w:t>“三公经费”支出使用和管理情况</w:t>
      </w:r>
    </w:p>
    <w:p>
      <w:pPr>
        <w:pStyle w:val="10"/>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45" w:leftChars="16" w:firstLine="640" w:firstLineChars="200"/>
        <w:textAlignment w:val="baseline"/>
        <w:rPr>
          <w:rFonts w:hint="eastAsia" w:eastAsia="仿宋_GB2312" w:cs="仿宋_GB2312"/>
          <w:kern w:val="2"/>
          <w:sz w:val="32"/>
          <w:szCs w:val="32"/>
          <w:lang w:val="en-US" w:eastAsia="zh-CN" w:bidi="ar-SA"/>
        </w:rPr>
      </w:pPr>
      <w:r>
        <w:rPr>
          <w:rFonts w:hint="default" w:eastAsia="仿宋_GB2312" w:cs="仿宋_GB2312"/>
          <w:kern w:val="2"/>
          <w:sz w:val="32"/>
          <w:szCs w:val="32"/>
          <w:lang w:val="en-US" w:eastAsia="zh-CN" w:bidi="ar-SA"/>
        </w:rPr>
        <w:t>“</w:t>
      </w:r>
      <w:r>
        <w:rPr>
          <w:rFonts w:hint="eastAsia" w:eastAsia="仿宋_GB2312" w:cs="仿宋_GB2312"/>
          <w:kern w:val="2"/>
          <w:sz w:val="32"/>
          <w:szCs w:val="32"/>
          <w:lang w:val="en-US" w:eastAsia="zh-CN" w:bidi="ar-SA"/>
        </w:rPr>
        <w:t>三公经费”财政拨款支出预算为34.3万元，支出决算为28.8万元，完成预算的83.97%，其中，因公出国（境）费支出预算为0万元，支出决算为0万元。公务接待费支出预算为4.3万元，支出决算为7.66万元，完成预算的178%，决算数与年初预算数相比增加78.14%，增加原因是上级检查与部门之间联系的实际支出，与上年决算相比减少2.46万元，减少32.11%，减少原因是上级检查、与部门之间横向联系有所减少，我局厉行节俭，严格控制公务接待费支出。</w:t>
      </w:r>
    </w:p>
    <w:p>
      <w:pPr>
        <w:pStyle w:val="10"/>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left="45" w:leftChars="16" w:firstLine="640" w:firstLineChars="200"/>
        <w:textAlignment w:val="baseline"/>
        <w:rPr>
          <w:rFonts w:hint="default" w:eastAsia="仿宋_GB2312" w:cs="仿宋_GB2312"/>
          <w:kern w:val="2"/>
          <w:sz w:val="32"/>
          <w:szCs w:val="32"/>
          <w:lang w:val="en-US" w:eastAsia="zh-CN" w:bidi="ar-SA"/>
        </w:rPr>
      </w:pPr>
      <w:r>
        <w:rPr>
          <w:rFonts w:hint="eastAsia" w:eastAsia="仿宋_GB2312" w:cs="仿宋_GB2312"/>
          <w:kern w:val="2"/>
          <w:sz w:val="32"/>
          <w:szCs w:val="32"/>
          <w:lang w:val="en-US" w:eastAsia="zh-CN" w:bidi="ar-SA"/>
        </w:rPr>
        <w:t>公务用车购置费及运行维护费支出预算为30万元，支出决算为21.14万元，完成预算的70.47%，决算数与年初预算数相比减少29.53%，与上年决算相比减少8.83万元，减少29.43%，减少的原因是因为疫情影响公车使用减少。</w:t>
      </w:r>
    </w:p>
    <w:p>
      <w:pPr>
        <w:keepNext w:val="0"/>
        <w:keepLines w:val="0"/>
        <w:pageBreakBefore w:val="0"/>
        <w:widowControl/>
        <w:kinsoku/>
        <w:wordWrap/>
        <w:overflowPunct/>
        <w:topLinePunct w:val="0"/>
        <w:bidi w:val="0"/>
        <w:snapToGrid/>
        <w:spacing w:line="600" w:lineRule="exact"/>
        <w:ind w:firstLine="640" w:firstLineChars="200"/>
        <w:rPr>
          <w:rFonts w:eastAsia="楷体_GB2312"/>
          <w:sz w:val="32"/>
          <w:szCs w:val="32"/>
        </w:rPr>
      </w:pPr>
      <w:r>
        <w:rPr>
          <w:rFonts w:hint="eastAsia" w:eastAsia="楷体_GB2312" w:cs="楷体_GB2312"/>
          <w:sz w:val="32"/>
          <w:szCs w:val="32"/>
        </w:rPr>
        <w:t>（四）部门绩效目标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sz w:val="32"/>
          <w:szCs w:val="32"/>
        </w:rPr>
      </w:pPr>
      <w:r>
        <w:rPr>
          <w:sz w:val="32"/>
          <w:szCs w:val="32"/>
        </w:rPr>
        <w:t xml:space="preserve">1. </w:t>
      </w:r>
      <w:r>
        <w:rPr>
          <w:rFonts w:hint="eastAsia" w:cs="仿宋_GB2312"/>
          <w:sz w:val="32"/>
          <w:szCs w:val="32"/>
        </w:rPr>
        <w:t>部门绩效总目标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sz w:val="32"/>
          <w:szCs w:val="32"/>
        </w:rPr>
        <w:t>我局紧跟县委县政府工作部署，以习近平新时代中国特色社会主义思想为指导，坚持立本职、抓重点、严监管，不断解放思想、真抓实干，确保全县食品药品、特种设备安全和市场稳定。整合市场监管资源，全力维护民生和公共安全，全年不发生区域性、系统性、行业性食品药品安全和质量安全问题；规范公示，强化事中事后监管；规范执法，严格履职履责；全面实施商事制度改革、降低市场主体准入门槛、优化经济发展服务举措，为全县经济社会提供便捷高效的市场准入环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sz w:val="32"/>
          <w:szCs w:val="32"/>
        </w:rPr>
      </w:pPr>
      <w:r>
        <w:rPr>
          <w:sz w:val="32"/>
          <w:szCs w:val="32"/>
        </w:rPr>
        <w:t xml:space="preserve">2. </w:t>
      </w:r>
      <w:r>
        <w:rPr>
          <w:rFonts w:hint="eastAsia" w:cs="仿宋_GB2312"/>
          <w:sz w:val="32"/>
          <w:szCs w:val="32"/>
        </w:rPr>
        <w:t>部门</w:t>
      </w:r>
      <w:r>
        <w:rPr>
          <w:sz w:val="32"/>
          <w:szCs w:val="32"/>
        </w:rPr>
        <w:t>202</w:t>
      </w:r>
      <w:r>
        <w:rPr>
          <w:rFonts w:hint="eastAsia"/>
          <w:sz w:val="32"/>
          <w:szCs w:val="32"/>
          <w:lang w:val="en-US" w:eastAsia="zh-CN"/>
        </w:rPr>
        <w:t>2</w:t>
      </w:r>
      <w:r>
        <w:rPr>
          <w:rFonts w:hint="eastAsia" w:cs="仿宋_GB2312"/>
          <w:sz w:val="32"/>
          <w:szCs w:val="32"/>
        </w:rPr>
        <w:t>年度绩效目标</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cs="仿宋_GB2312"/>
          <w:sz w:val="32"/>
          <w:szCs w:val="32"/>
        </w:rPr>
      </w:pPr>
      <w:r>
        <w:rPr>
          <w:rFonts w:hint="eastAsia" w:cs="仿宋_GB2312"/>
          <w:sz w:val="32"/>
          <w:szCs w:val="32"/>
        </w:rPr>
        <w:t>加强市场监管，规范市场经营秩序，落实市场主体责任，打击违法、违规行为，监督提升企业产品质量，维护消费者合法权益，防范各类安全事故，保障公众人身和财产安全，促进经济、社会发展。</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cs="仿宋_GB2312"/>
          <w:sz w:val="32"/>
          <w:szCs w:val="32"/>
        </w:rPr>
        <w:t>（</w:t>
      </w:r>
      <w:r>
        <w:rPr>
          <w:sz w:val="32"/>
          <w:szCs w:val="32"/>
        </w:rPr>
        <w:t>1</w:t>
      </w:r>
      <w:r>
        <w:rPr>
          <w:rFonts w:hint="eastAsia" w:cs="仿宋_GB2312"/>
          <w:sz w:val="32"/>
          <w:szCs w:val="32"/>
        </w:rPr>
        <w:t>）产出指标</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cs="仿宋_GB2312"/>
          <w:sz w:val="32"/>
          <w:szCs w:val="32"/>
        </w:rPr>
        <w:t>①数量指标。新增各类市场主体注册登记</w:t>
      </w:r>
      <w:r>
        <w:rPr>
          <w:rFonts w:hint="eastAsia" w:cs="仿宋_GB2312"/>
          <w:sz w:val="32"/>
          <w:szCs w:val="32"/>
          <w:lang w:val="en-US" w:eastAsia="zh-CN"/>
        </w:rPr>
        <w:t>15871</w:t>
      </w:r>
      <w:r>
        <w:rPr>
          <w:rFonts w:hint="eastAsia" w:cs="仿宋_GB2312"/>
          <w:sz w:val="32"/>
          <w:szCs w:val="32"/>
        </w:rPr>
        <w:t>家，新增各类新开办企业免费刻制首套印章88</w:t>
      </w:r>
      <w:r>
        <w:rPr>
          <w:rFonts w:hint="eastAsia" w:cs="仿宋_GB2312"/>
          <w:sz w:val="32"/>
          <w:szCs w:val="32"/>
          <w:lang w:val="en-US" w:eastAsia="zh-CN"/>
        </w:rPr>
        <w:t>5</w:t>
      </w:r>
      <w:r>
        <w:rPr>
          <w:rFonts w:hint="eastAsia" w:cs="仿宋_GB2312"/>
          <w:sz w:val="32"/>
          <w:szCs w:val="32"/>
        </w:rPr>
        <w:t>家。新增培育指导成功注册商标</w:t>
      </w:r>
      <w:r>
        <w:rPr>
          <w:rFonts w:hint="eastAsia" w:cs="仿宋_GB2312"/>
          <w:sz w:val="32"/>
          <w:szCs w:val="32"/>
          <w:lang w:val="en-US" w:eastAsia="zh-CN"/>
        </w:rPr>
        <w:t>613</w:t>
      </w:r>
      <w:r>
        <w:rPr>
          <w:rFonts w:hint="eastAsia" w:cs="仿宋_GB2312"/>
          <w:sz w:val="32"/>
          <w:szCs w:val="32"/>
        </w:rPr>
        <w:t>件，新增发明专利申请</w:t>
      </w:r>
      <w:r>
        <w:rPr>
          <w:rFonts w:hint="eastAsia" w:cs="仿宋_GB2312"/>
          <w:sz w:val="32"/>
          <w:szCs w:val="32"/>
          <w:lang w:val="en-US" w:eastAsia="zh-CN"/>
        </w:rPr>
        <w:t>240</w:t>
      </w:r>
      <w:r>
        <w:rPr>
          <w:rFonts w:hint="eastAsia" w:cs="仿宋_GB2312"/>
          <w:sz w:val="32"/>
          <w:szCs w:val="32"/>
        </w:rPr>
        <w:t>件。双随机、一公开监管抽查注册登记在册企业</w:t>
      </w:r>
      <w:r>
        <w:rPr>
          <w:rFonts w:hint="eastAsia" w:cs="仿宋_GB2312"/>
          <w:sz w:val="32"/>
          <w:szCs w:val="32"/>
          <w:lang w:val="en-US" w:eastAsia="zh-CN"/>
        </w:rPr>
        <w:t>1174</w:t>
      </w:r>
      <w:r>
        <w:rPr>
          <w:rFonts w:hint="eastAsia" w:cs="仿宋_GB2312"/>
          <w:sz w:val="32"/>
          <w:szCs w:val="32"/>
        </w:rPr>
        <w:t>家。全年开展各项专项整治60余次，监督抽查食用农产品、其他食品2</w:t>
      </w:r>
      <w:r>
        <w:rPr>
          <w:rFonts w:hint="eastAsia" w:cs="仿宋_GB2312"/>
          <w:sz w:val="32"/>
          <w:szCs w:val="32"/>
          <w:lang w:val="en-US" w:eastAsia="zh-CN"/>
        </w:rPr>
        <w:t>400</w:t>
      </w:r>
      <w:r>
        <w:rPr>
          <w:rFonts w:hint="eastAsia" w:cs="仿宋_GB2312"/>
          <w:sz w:val="32"/>
          <w:szCs w:val="32"/>
        </w:rPr>
        <w:t>批次，</w:t>
      </w:r>
      <w:r>
        <w:rPr>
          <w:rFonts w:ascii="Times New Roman" w:hAnsi="Times New Roman" w:eastAsia="仿宋_GB2312" w:cs="Times New Roman"/>
          <w:sz w:val="32"/>
          <w:szCs w:val="32"/>
        </w:rPr>
        <w:t>检查食品经营生产主体6628户</w:t>
      </w:r>
      <w:r>
        <w:rPr>
          <w:rFonts w:hint="eastAsia" w:ascii="Times New Roman" w:hAnsi="Times New Roman" w:cs="Times New Roman"/>
          <w:sz w:val="32"/>
          <w:szCs w:val="32"/>
          <w:lang w:eastAsia="zh-CN"/>
        </w:rPr>
        <w:t>，</w:t>
      </w:r>
      <w:r>
        <w:rPr>
          <w:rFonts w:hint="eastAsia" w:cs="Times New Roman"/>
          <w:sz w:val="32"/>
          <w:szCs w:val="32"/>
          <w:lang w:eastAsia="zh-CN"/>
        </w:rPr>
        <w:t>进行</w:t>
      </w:r>
      <w:r>
        <w:rPr>
          <w:rFonts w:hint="eastAsia" w:cs="Times New Roman"/>
          <w:sz w:val="32"/>
          <w:szCs w:val="32"/>
          <w:lang w:val="en-US" w:eastAsia="zh-CN"/>
        </w:rPr>
        <w:t>食品安全培训及食品生产企业参与食品安全管理员考核1次，</w:t>
      </w:r>
      <w:r>
        <w:rPr>
          <w:rFonts w:ascii="Times New Roman" w:hAnsi="Times New Roman" w:eastAsia="仿宋_GB2312" w:cs="Times New Roman"/>
          <w:sz w:val="32"/>
          <w:szCs w:val="32"/>
        </w:rPr>
        <w:t>完成了高考、中考和两会重大活动等食品安全保障工作10次</w:t>
      </w:r>
      <w:r>
        <w:rPr>
          <w:rFonts w:hint="eastAsia" w:ascii="Times New Roman" w:hAnsi="Times New Roman" w:cs="Times New Roman"/>
          <w:sz w:val="32"/>
          <w:szCs w:val="32"/>
          <w:lang w:eastAsia="zh-CN"/>
        </w:rPr>
        <w:t>。</w:t>
      </w:r>
      <w:r>
        <w:rPr>
          <w:rFonts w:hint="eastAsia" w:cs="仿宋_GB2312"/>
          <w:sz w:val="32"/>
          <w:szCs w:val="32"/>
        </w:rPr>
        <w:t>开展药品、化妆品日常监督检查10</w:t>
      </w:r>
      <w:r>
        <w:rPr>
          <w:rFonts w:hint="eastAsia" w:cs="仿宋_GB2312"/>
          <w:sz w:val="32"/>
          <w:szCs w:val="32"/>
          <w:lang w:val="en-US" w:eastAsia="zh-CN"/>
        </w:rPr>
        <w:t>34</w:t>
      </w:r>
      <w:r>
        <w:rPr>
          <w:rFonts w:hint="eastAsia" w:cs="仿宋_GB2312"/>
          <w:sz w:val="32"/>
          <w:szCs w:val="32"/>
        </w:rPr>
        <w:t>家次。检查特种设备使用单位139家。受理各类投诉举报</w:t>
      </w:r>
      <w:r>
        <w:rPr>
          <w:rFonts w:hint="eastAsia" w:cs="仿宋_GB2312"/>
          <w:sz w:val="32"/>
          <w:szCs w:val="32"/>
          <w:lang w:val="en-US" w:eastAsia="zh-CN"/>
        </w:rPr>
        <w:t>2560</w:t>
      </w:r>
      <w:r>
        <w:rPr>
          <w:rFonts w:hint="eastAsia" w:cs="仿宋_GB2312"/>
          <w:sz w:val="32"/>
          <w:szCs w:val="32"/>
        </w:rPr>
        <w:t>件。抽检农资产品、烟花爆竹、建材、成品油等1</w:t>
      </w:r>
      <w:r>
        <w:rPr>
          <w:rFonts w:hint="eastAsia" w:cs="仿宋_GB2312"/>
          <w:sz w:val="32"/>
          <w:szCs w:val="32"/>
          <w:lang w:val="en-US" w:eastAsia="zh-CN"/>
        </w:rPr>
        <w:t>60</w:t>
      </w:r>
      <w:r>
        <w:rPr>
          <w:rFonts w:hint="eastAsia" w:cs="仿宋_GB2312"/>
          <w:sz w:val="32"/>
          <w:szCs w:val="32"/>
        </w:rPr>
        <w:t>批次。全县企业自主申报检定二次加油机</w:t>
      </w:r>
      <w:r>
        <w:rPr>
          <w:rFonts w:hint="eastAsia" w:cs="仿宋_GB2312"/>
          <w:sz w:val="32"/>
          <w:szCs w:val="32"/>
          <w:lang w:val="en-US" w:eastAsia="zh-CN"/>
        </w:rPr>
        <w:t>1300</w:t>
      </w:r>
      <w:r>
        <w:rPr>
          <w:rFonts w:hint="eastAsia" w:cs="仿宋_GB2312"/>
          <w:sz w:val="32"/>
          <w:szCs w:val="32"/>
        </w:rPr>
        <w:t>枪、压力表</w:t>
      </w:r>
      <w:r>
        <w:rPr>
          <w:rFonts w:hint="eastAsia" w:cs="仿宋_GB2312"/>
          <w:sz w:val="32"/>
          <w:szCs w:val="32"/>
          <w:lang w:val="en-US" w:eastAsia="zh-CN"/>
        </w:rPr>
        <w:t>780</w:t>
      </w:r>
      <w:r>
        <w:rPr>
          <w:rFonts w:hint="eastAsia" w:cs="仿宋_GB2312"/>
          <w:sz w:val="32"/>
          <w:szCs w:val="32"/>
        </w:rPr>
        <w:t>块，全县企业自主申报检定有血压计</w:t>
      </w:r>
      <w:r>
        <w:rPr>
          <w:rFonts w:hint="eastAsia" w:cs="仿宋_GB2312"/>
          <w:sz w:val="32"/>
          <w:szCs w:val="32"/>
          <w:lang w:val="en-US" w:eastAsia="zh-CN"/>
        </w:rPr>
        <w:t>310</w:t>
      </w:r>
      <w:r>
        <w:rPr>
          <w:rFonts w:hint="eastAsia" w:cs="仿宋_GB2312"/>
          <w:sz w:val="32"/>
          <w:szCs w:val="32"/>
        </w:rPr>
        <w:t>台，有天平、各类秤</w:t>
      </w:r>
      <w:r>
        <w:rPr>
          <w:rFonts w:hint="eastAsia" w:cs="仿宋_GB2312"/>
          <w:sz w:val="32"/>
          <w:szCs w:val="32"/>
          <w:lang w:val="en-US" w:eastAsia="zh-CN"/>
        </w:rPr>
        <w:t>600</w:t>
      </w:r>
      <w:r>
        <w:rPr>
          <w:rFonts w:hint="eastAsia" w:cs="仿宋_GB2312"/>
          <w:sz w:val="32"/>
          <w:szCs w:val="32"/>
        </w:rPr>
        <w:t>台。开展党史教育集中学习12次。</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cs="仿宋_GB2312"/>
          <w:sz w:val="32"/>
          <w:szCs w:val="32"/>
        </w:rPr>
        <w:t>②质量指标。各类市场主体注册登记办结率100%。新开办企业首套印章免费刻制率100%。双随机、一公开监管检查问题整改落实率100%。培育指导注册商标率100%。发明专利申请量任务完成率100%。各类案件办结率100%。食品安全监督抽查信息公布率100%。检查食品生产企业覆盖率100%。食品安全管理员考核覆盖率100%。药品、化妆品市场检查覆盖率100%。安全检查完成率100%。安全隐患整改到位率100%。举报投诉件处理率100%。农资产品、烟花爆竹、建材、成品油等产品质量抽检问题处理率100%。开展党史教育学习覆盖率100%。</w:t>
      </w:r>
    </w:p>
    <w:p>
      <w:pPr>
        <w:pStyle w:val="6"/>
        <w:keepNext w:val="0"/>
        <w:keepLines w:val="0"/>
        <w:pageBreakBefore w:val="0"/>
        <w:kinsoku/>
        <w:wordWrap/>
        <w:overflowPunct/>
        <w:topLinePunct w:val="0"/>
        <w:bidi w:val="0"/>
        <w:snapToGrid/>
        <w:spacing w:after="0" w:line="600" w:lineRule="exact"/>
        <w:ind w:left="0" w:leftChars="0" w:firstLine="640"/>
        <w:rPr>
          <w:sz w:val="32"/>
          <w:szCs w:val="32"/>
        </w:rPr>
      </w:pPr>
      <w:r>
        <w:rPr>
          <w:rFonts w:hint="eastAsia" w:cs="仿宋_GB2312"/>
          <w:sz w:val="32"/>
          <w:szCs w:val="32"/>
        </w:rPr>
        <w:t>③时效指标。</w:t>
      </w:r>
      <w:r>
        <w:rPr>
          <w:rFonts w:hint="eastAsia" w:ascii="仿宋_GB2312" w:hAnsi="Times New Roman" w:eastAsia="仿宋_GB2312" w:cs="黑体"/>
          <w:color w:val="000000"/>
          <w:kern w:val="0"/>
          <w:sz w:val="32"/>
          <w:szCs w:val="32"/>
        </w:rPr>
        <w:t>各类消费者投诉举报处理时效为</w:t>
      </w:r>
      <w:r>
        <w:rPr>
          <w:rFonts w:hint="eastAsia" w:ascii="Times New Roman" w:hAnsi="Times New Roman" w:eastAsia="仿宋_GB2312" w:cs="Times New Roman"/>
          <w:color w:val="000000"/>
          <w:kern w:val="0"/>
          <w:sz w:val="32"/>
          <w:szCs w:val="32"/>
        </w:rPr>
        <w:t>7</w:t>
      </w:r>
      <w:r>
        <w:rPr>
          <w:rFonts w:hint="eastAsia" w:ascii="仿宋_GB2312" w:hAnsi="Times New Roman" w:eastAsia="仿宋_GB2312" w:cs="黑体"/>
          <w:color w:val="000000"/>
          <w:kern w:val="0"/>
          <w:sz w:val="32"/>
          <w:szCs w:val="32"/>
        </w:rPr>
        <w:t>个工作日。抽查食用农产品、其他食品时效为</w:t>
      </w:r>
      <w:r>
        <w:rPr>
          <w:rFonts w:hint="eastAsia" w:ascii="Times New Roman" w:hAnsi="Times New Roman" w:eastAsia="仿宋_GB2312" w:cs="Times New Roman"/>
          <w:color w:val="000000"/>
          <w:kern w:val="0"/>
          <w:sz w:val="32"/>
          <w:szCs w:val="32"/>
        </w:rPr>
        <w:t>202</w:t>
      </w:r>
      <w:r>
        <w:rPr>
          <w:rFonts w:hint="eastAsia" w:cs="Times New Roman"/>
          <w:color w:val="000000"/>
          <w:kern w:val="0"/>
          <w:sz w:val="32"/>
          <w:szCs w:val="32"/>
          <w:lang w:val="en-US" w:eastAsia="zh-CN"/>
        </w:rPr>
        <w:t>2</w:t>
      </w:r>
      <w:r>
        <w:rPr>
          <w:rFonts w:hint="eastAsia" w:ascii="仿宋_GB2312" w:hAnsi="Times New Roman" w:eastAsia="仿宋_GB2312" w:cs="黑体"/>
          <w:color w:val="000000"/>
          <w:kern w:val="0"/>
          <w:sz w:val="32"/>
          <w:szCs w:val="32"/>
        </w:rPr>
        <w:t>年</w:t>
      </w:r>
      <w:r>
        <w:rPr>
          <w:rFonts w:hint="eastAsia" w:cs="Times New Roman"/>
          <w:color w:val="000000"/>
          <w:kern w:val="0"/>
          <w:sz w:val="32"/>
          <w:szCs w:val="32"/>
          <w:lang w:val="en-US" w:eastAsia="zh-CN"/>
        </w:rPr>
        <w:t>1</w:t>
      </w:r>
      <w:r>
        <w:rPr>
          <w:rFonts w:hint="eastAsia" w:ascii="仿宋_GB2312" w:hAnsi="Times New Roman" w:eastAsia="仿宋_GB2312" w:cs="黑体"/>
          <w:color w:val="000000"/>
          <w:kern w:val="0"/>
          <w:sz w:val="32"/>
          <w:szCs w:val="32"/>
        </w:rPr>
        <w:t>-</w:t>
      </w:r>
      <w:r>
        <w:rPr>
          <w:rFonts w:hint="eastAsia" w:cs="Times New Roman"/>
          <w:color w:val="000000"/>
          <w:kern w:val="0"/>
          <w:sz w:val="32"/>
          <w:szCs w:val="32"/>
          <w:lang w:val="en-US" w:eastAsia="zh-CN"/>
        </w:rPr>
        <w:t>12</w:t>
      </w:r>
      <w:r>
        <w:rPr>
          <w:rFonts w:hint="eastAsia" w:ascii="仿宋_GB2312" w:hAnsi="Times New Roman" w:eastAsia="仿宋_GB2312" w:cs="黑体"/>
          <w:color w:val="000000"/>
          <w:kern w:val="0"/>
          <w:sz w:val="32"/>
          <w:szCs w:val="32"/>
        </w:rPr>
        <w:t>月。任务及时完成率</w:t>
      </w:r>
      <w:r>
        <w:rPr>
          <w:rFonts w:hint="eastAsia" w:ascii="Times New Roman" w:hAnsi="Times New Roman" w:eastAsia="仿宋_GB2312" w:cs="Times New Roman"/>
          <w:color w:val="000000"/>
          <w:kern w:val="0"/>
          <w:sz w:val="32"/>
          <w:szCs w:val="32"/>
        </w:rPr>
        <w:t>100%</w:t>
      </w:r>
      <w:r>
        <w:rPr>
          <w:rFonts w:hint="eastAsia" w:cs="仿宋_GB2312"/>
          <w:sz w:val="32"/>
          <w:szCs w:val="32"/>
        </w:rPr>
        <w:t>。</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cs="仿宋_GB2312"/>
          <w:sz w:val="32"/>
          <w:szCs w:val="32"/>
        </w:rPr>
        <w:t>④成本指标。成本发生规范合理率</w:t>
      </w:r>
      <w:r>
        <w:rPr>
          <w:sz w:val="32"/>
          <w:szCs w:val="32"/>
        </w:rPr>
        <w:t>100%</w:t>
      </w:r>
      <w:r>
        <w:rPr>
          <w:rFonts w:hint="eastAsia" w:cs="仿宋_GB2312"/>
          <w:sz w:val="32"/>
          <w:szCs w:val="32"/>
        </w:rPr>
        <w:t>。</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cs="仿宋_GB2312"/>
          <w:sz w:val="32"/>
          <w:szCs w:val="32"/>
        </w:rPr>
        <w:t>（</w:t>
      </w:r>
      <w:r>
        <w:rPr>
          <w:sz w:val="32"/>
          <w:szCs w:val="32"/>
        </w:rPr>
        <w:t>2</w:t>
      </w:r>
      <w:r>
        <w:rPr>
          <w:rFonts w:hint="eastAsia" w:cs="仿宋_GB2312"/>
          <w:sz w:val="32"/>
          <w:szCs w:val="32"/>
        </w:rPr>
        <w:t>）效益指标</w:t>
      </w:r>
    </w:p>
    <w:p>
      <w:pPr>
        <w:pStyle w:val="6"/>
        <w:keepNext w:val="0"/>
        <w:keepLines w:val="0"/>
        <w:pageBreakBefore w:val="0"/>
        <w:kinsoku/>
        <w:wordWrap/>
        <w:overflowPunct/>
        <w:topLinePunct w:val="0"/>
        <w:bidi w:val="0"/>
        <w:snapToGrid/>
        <w:spacing w:after="0" w:line="600" w:lineRule="exact"/>
        <w:ind w:left="0" w:leftChars="0" w:firstLine="640"/>
        <w:rPr>
          <w:rFonts w:hint="eastAsia" w:ascii="仿宋_GB2312" w:hAnsi="Times New Roman" w:eastAsia="仿宋_GB2312" w:cs="黑体"/>
          <w:color w:val="000000"/>
          <w:kern w:val="0"/>
          <w:sz w:val="32"/>
          <w:szCs w:val="32"/>
        </w:rPr>
      </w:pPr>
      <w:r>
        <w:rPr>
          <w:rFonts w:hint="eastAsia" w:ascii="仿宋_GB2312" w:hAnsi="Times New Roman" w:eastAsia="仿宋_GB2312" w:cs="黑体"/>
          <w:color w:val="000000"/>
          <w:kern w:val="0"/>
          <w:sz w:val="32"/>
          <w:szCs w:val="32"/>
        </w:rPr>
        <w:t>办理专利质押备案登记</w:t>
      </w:r>
      <w:r>
        <w:rPr>
          <w:rFonts w:hint="eastAsia" w:cs="Times New Roman"/>
          <w:color w:val="000000"/>
          <w:kern w:val="0"/>
          <w:sz w:val="32"/>
          <w:szCs w:val="32"/>
          <w:lang w:val="en-US" w:eastAsia="zh-CN"/>
        </w:rPr>
        <w:t>11</w:t>
      </w:r>
      <w:r>
        <w:rPr>
          <w:rFonts w:hint="eastAsia" w:ascii="仿宋_GB2312" w:hAnsi="Times New Roman" w:eastAsia="仿宋_GB2312" w:cs="黑体"/>
          <w:color w:val="000000"/>
          <w:kern w:val="0"/>
          <w:sz w:val="32"/>
          <w:szCs w:val="32"/>
        </w:rPr>
        <w:t>笔，融资额合计</w:t>
      </w:r>
      <w:r>
        <w:rPr>
          <w:rFonts w:hint="eastAsia" w:cs="Times New Roman"/>
          <w:color w:val="000000"/>
          <w:kern w:val="0"/>
          <w:sz w:val="32"/>
          <w:szCs w:val="32"/>
          <w:lang w:val="en-US" w:eastAsia="zh-CN"/>
        </w:rPr>
        <w:t>5628.5</w:t>
      </w:r>
      <w:r>
        <w:rPr>
          <w:rFonts w:hint="eastAsia" w:ascii="仿宋_GB2312" w:hAnsi="Times New Roman" w:eastAsia="仿宋_GB2312" w:cs="黑体"/>
          <w:color w:val="000000"/>
          <w:kern w:val="0"/>
          <w:sz w:val="32"/>
          <w:szCs w:val="32"/>
        </w:rPr>
        <w:t>万元。引导消费者科学、合理、文明消费，切实维护自身的合法权益，提升“放心消费”理念。食品、药品、特种设备等安全隐患事故发生率为</w:t>
      </w:r>
      <w:r>
        <w:rPr>
          <w:rFonts w:hint="eastAsia" w:ascii="Times New Roman" w:hAnsi="Times New Roman" w:eastAsia="仿宋_GB2312" w:cs="Times New Roman"/>
          <w:color w:val="000000"/>
          <w:kern w:val="0"/>
          <w:sz w:val="32"/>
          <w:szCs w:val="32"/>
        </w:rPr>
        <w:t>0%</w:t>
      </w:r>
      <w:r>
        <w:rPr>
          <w:rFonts w:hint="eastAsia" w:ascii="仿宋_GB2312" w:hAnsi="Times New Roman" w:eastAsia="仿宋_GB2312" w:cs="黑体"/>
          <w:color w:val="000000"/>
          <w:kern w:val="0"/>
          <w:sz w:val="32"/>
          <w:szCs w:val="32"/>
        </w:rPr>
        <w:t>。维持食品安全秩序，改善市场“脏乱差”环境，提高执法能力和监管能力，提升市场监管队伍形象，提升履职风险防范能力。</w:t>
      </w:r>
    </w:p>
    <w:p>
      <w:pPr>
        <w:pStyle w:val="12"/>
        <w:keepNext w:val="0"/>
        <w:keepLines w:val="0"/>
        <w:pageBreakBefore w:val="0"/>
        <w:widowControl/>
        <w:kinsoku/>
        <w:wordWrap/>
        <w:overflowPunct/>
        <w:topLinePunct w:val="0"/>
        <w:bidi w:val="0"/>
        <w:snapToGrid/>
        <w:spacing w:line="600" w:lineRule="exact"/>
        <w:ind w:firstLine="31680"/>
        <w:rPr>
          <w:rFonts w:hint="eastAsia" w:ascii="仿宋_GB2312" w:hAnsi="Times New Roman" w:eastAsia="仿宋_GB2312" w:cs="黑体"/>
          <w:color w:val="000000"/>
          <w:kern w:val="0"/>
          <w:sz w:val="32"/>
          <w:szCs w:val="32"/>
        </w:rPr>
      </w:pPr>
      <w:r>
        <w:rPr>
          <w:rFonts w:hint="eastAsia" w:ascii="仿宋_GB2312" w:hAnsi="Times New Roman" w:eastAsia="仿宋_GB2312" w:cs="黑体"/>
          <w:color w:val="000000"/>
          <w:kern w:val="0"/>
          <w:sz w:val="32"/>
          <w:szCs w:val="32"/>
        </w:rPr>
        <w:t>社会公众满意度</w:t>
      </w:r>
      <w:r>
        <w:rPr>
          <w:rFonts w:hint="eastAsia" w:ascii="Times New Roman" w:hAnsi="Times New Roman" w:eastAsia="仿宋_GB2312" w:cs="Times New Roman"/>
          <w:color w:val="000000"/>
          <w:kern w:val="0"/>
          <w:sz w:val="32"/>
          <w:szCs w:val="32"/>
        </w:rPr>
        <w:t>90%</w:t>
      </w:r>
      <w:r>
        <w:rPr>
          <w:rFonts w:hint="eastAsia" w:ascii="仿宋_GB2312" w:hAnsi="Times New Roman" w:eastAsia="仿宋_GB2312" w:cs="黑体"/>
          <w:color w:val="000000"/>
          <w:kern w:val="0"/>
          <w:sz w:val="32"/>
          <w:szCs w:val="32"/>
        </w:rPr>
        <w:t>以上。</w:t>
      </w:r>
    </w:p>
    <w:p>
      <w:pPr>
        <w:pStyle w:val="12"/>
        <w:keepNext w:val="0"/>
        <w:keepLines w:val="0"/>
        <w:pageBreakBefore w:val="0"/>
        <w:widowControl/>
        <w:kinsoku/>
        <w:wordWrap/>
        <w:overflowPunct/>
        <w:topLinePunct w:val="0"/>
        <w:bidi w:val="0"/>
        <w:snapToGrid/>
        <w:spacing w:line="600" w:lineRule="exact"/>
        <w:ind w:firstLine="31680"/>
        <w:rPr>
          <w:rFonts w:ascii="Times New Roman" w:hAnsi="Times New Roman" w:eastAsia="黑体" w:cs="Times New Roman"/>
          <w:sz w:val="32"/>
          <w:szCs w:val="32"/>
        </w:rPr>
      </w:pPr>
      <w:r>
        <w:rPr>
          <w:rFonts w:hint="eastAsia" w:ascii="Times New Roman" w:hAnsi="Times New Roman" w:eastAsia="黑体" w:cs="黑体"/>
          <w:sz w:val="32"/>
          <w:szCs w:val="32"/>
        </w:rPr>
        <w:t>二、一般公共预算支出情况</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sz w:val="32"/>
          <w:szCs w:val="32"/>
          <w:lang w:eastAsia="zh-CN"/>
        </w:rPr>
        <w:t>桃源县市场监督管理局</w:t>
      </w:r>
      <w:r>
        <w:rPr>
          <w:sz w:val="32"/>
          <w:szCs w:val="32"/>
        </w:rPr>
        <w:t>202</w:t>
      </w:r>
      <w:r>
        <w:rPr>
          <w:rFonts w:hint="eastAsia"/>
          <w:sz w:val="32"/>
          <w:szCs w:val="32"/>
          <w:lang w:val="en-US" w:eastAsia="zh-CN"/>
        </w:rPr>
        <w:t>2</w:t>
      </w:r>
      <w:r>
        <w:rPr>
          <w:rFonts w:hint="eastAsia" w:cs="仿宋_GB2312"/>
          <w:sz w:val="32"/>
          <w:szCs w:val="32"/>
        </w:rPr>
        <w:t>年度一般公共预算财政拨款年初结转和结余</w:t>
      </w:r>
      <w:r>
        <w:rPr>
          <w:rFonts w:hint="eastAsia" w:cs="仿宋_GB2312"/>
          <w:sz w:val="32"/>
          <w:szCs w:val="32"/>
          <w:lang w:val="en-US" w:eastAsia="zh-CN"/>
        </w:rPr>
        <w:t>374.68</w:t>
      </w:r>
      <w:r>
        <w:rPr>
          <w:rFonts w:hint="eastAsia" w:cs="仿宋_GB2312"/>
          <w:sz w:val="32"/>
          <w:szCs w:val="32"/>
        </w:rPr>
        <w:t>万元，本年收入</w:t>
      </w:r>
      <w:r>
        <w:rPr>
          <w:rFonts w:hint="eastAsia"/>
          <w:sz w:val="32"/>
          <w:szCs w:val="32"/>
          <w:lang w:val="en-US" w:eastAsia="zh-CN"/>
        </w:rPr>
        <w:t>4450.83</w:t>
      </w:r>
      <w:r>
        <w:rPr>
          <w:rFonts w:hint="eastAsia" w:cs="仿宋_GB2312"/>
          <w:sz w:val="32"/>
          <w:szCs w:val="32"/>
        </w:rPr>
        <w:t>万元，本年支出</w:t>
      </w:r>
      <w:r>
        <w:rPr>
          <w:rFonts w:hint="eastAsia"/>
          <w:sz w:val="32"/>
          <w:szCs w:val="32"/>
          <w:lang w:val="en-US" w:eastAsia="zh-CN"/>
        </w:rPr>
        <w:t>4825.51</w:t>
      </w:r>
      <w:r>
        <w:rPr>
          <w:rFonts w:hint="eastAsia" w:cs="仿宋_GB2312"/>
          <w:sz w:val="32"/>
          <w:szCs w:val="32"/>
        </w:rPr>
        <w:t>万元，年末结转和结余</w:t>
      </w:r>
      <w:r>
        <w:rPr>
          <w:rFonts w:hint="eastAsia"/>
          <w:sz w:val="32"/>
          <w:szCs w:val="32"/>
          <w:lang w:val="en-US" w:eastAsia="zh-CN"/>
        </w:rPr>
        <w:t>0</w:t>
      </w:r>
      <w:r>
        <w:rPr>
          <w:rFonts w:hint="eastAsia" w:cs="仿宋_GB2312"/>
          <w:sz w:val="32"/>
          <w:szCs w:val="32"/>
        </w:rPr>
        <w:t>万元。</w:t>
      </w:r>
    </w:p>
    <w:p>
      <w:pPr>
        <w:keepNext w:val="0"/>
        <w:keepLines w:val="0"/>
        <w:pageBreakBefore w:val="0"/>
        <w:widowControl/>
        <w:kinsoku/>
        <w:wordWrap/>
        <w:overflowPunct/>
        <w:topLinePunct w:val="0"/>
        <w:bidi w:val="0"/>
        <w:snapToGrid/>
        <w:spacing w:line="600" w:lineRule="exact"/>
        <w:ind w:firstLine="640" w:firstLineChars="200"/>
        <w:rPr>
          <w:rFonts w:eastAsia="楷体_GB2312"/>
          <w:sz w:val="32"/>
          <w:szCs w:val="32"/>
        </w:rPr>
      </w:pPr>
      <w:r>
        <w:rPr>
          <w:rFonts w:hint="eastAsia" w:eastAsia="楷体_GB2312" w:cs="楷体_GB2312"/>
          <w:sz w:val="32"/>
          <w:szCs w:val="32"/>
        </w:rPr>
        <w:t>（一）基本支出情况</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sz w:val="32"/>
          <w:szCs w:val="32"/>
          <w:lang w:eastAsia="zh-CN"/>
        </w:rPr>
        <w:t>桃源县市场监督管理局</w:t>
      </w:r>
      <w:r>
        <w:rPr>
          <w:sz w:val="32"/>
          <w:szCs w:val="32"/>
        </w:rPr>
        <w:t>202</w:t>
      </w:r>
      <w:r>
        <w:rPr>
          <w:rFonts w:hint="eastAsia"/>
          <w:sz w:val="32"/>
          <w:szCs w:val="32"/>
          <w:lang w:val="en-US" w:eastAsia="zh-CN"/>
        </w:rPr>
        <w:t>2</w:t>
      </w:r>
      <w:r>
        <w:rPr>
          <w:rFonts w:hint="eastAsia" w:cs="仿宋_GB2312"/>
          <w:sz w:val="32"/>
          <w:szCs w:val="32"/>
        </w:rPr>
        <w:t>年度一般公共预算财政拨款基本支出年初结转和结余</w:t>
      </w:r>
      <w:r>
        <w:rPr>
          <w:rFonts w:hint="eastAsia"/>
          <w:sz w:val="32"/>
          <w:szCs w:val="32"/>
          <w:lang w:val="en-US" w:eastAsia="zh-CN"/>
        </w:rPr>
        <w:t>39.93</w:t>
      </w:r>
      <w:r>
        <w:rPr>
          <w:rFonts w:hint="eastAsia" w:cs="仿宋_GB2312"/>
          <w:sz w:val="32"/>
          <w:szCs w:val="32"/>
        </w:rPr>
        <w:t>万元，本年收入</w:t>
      </w:r>
      <w:r>
        <w:rPr>
          <w:rFonts w:hint="eastAsia"/>
          <w:sz w:val="32"/>
          <w:szCs w:val="32"/>
          <w:lang w:val="en-US" w:eastAsia="zh-CN"/>
        </w:rPr>
        <w:t>3610.16</w:t>
      </w:r>
      <w:r>
        <w:rPr>
          <w:rFonts w:hint="eastAsia" w:cs="仿宋_GB2312"/>
          <w:sz w:val="32"/>
          <w:szCs w:val="32"/>
        </w:rPr>
        <w:t>万元，本年支出</w:t>
      </w:r>
      <w:r>
        <w:rPr>
          <w:rFonts w:hint="eastAsia"/>
          <w:sz w:val="32"/>
          <w:szCs w:val="32"/>
          <w:lang w:val="en-US" w:eastAsia="zh-CN"/>
        </w:rPr>
        <w:t>3650.09</w:t>
      </w:r>
      <w:r>
        <w:rPr>
          <w:rFonts w:hint="eastAsia" w:cs="仿宋_GB2312"/>
          <w:sz w:val="32"/>
          <w:szCs w:val="32"/>
        </w:rPr>
        <w:t>万元，年末结转和结余</w:t>
      </w:r>
      <w:r>
        <w:rPr>
          <w:sz w:val="32"/>
          <w:szCs w:val="32"/>
        </w:rPr>
        <w:t>0</w:t>
      </w:r>
      <w:r>
        <w:rPr>
          <w:rFonts w:hint="eastAsia" w:cs="仿宋_GB2312"/>
          <w:sz w:val="32"/>
          <w:szCs w:val="32"/>
        </w:rPr>
        <w:t>万元。</w:t>
      </w:r>
    </w:p>
    <w:p>
      <w:pPr>
        <w:keepNext w:val="0"/>
        <w:keepLines w:val="0"/>
        <w:pageBreakBefore w:val="0"/>
        <w:widowControl/>
        <w:kinsoku/>
        <w:wordWrap/>
        <w:overflowPunct/>
        <w:topLinePunct w:val="0"/>
        <w:bidi w:val="0"/>
        <w:snapToGrid/>
        <w:spacing w:line="600" w:lineRule="exact"/>
        <w:ind w:firstLine="640" w:firstLineChars="200"/>
        <w:rPr>
          <w:rFonts w:eastAsia="楷体_GB2312"/>
          <w:sz w:val="32"/>
          <w:szCs w:val="32"/>
        </w:rPr>
      </w:pPr>
      <w:r>
        <w:rPr>
          <w:rFonts w:hint="eastAsia" w:eastAsia="楷体_GB2312" w:cs="楷体_GB2312"/>
          <w:sz w:val="32"/>
          <w:szCs w:val="32"/>
        </w:rPr>
        <w:t>（二）项目支出情况</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rFonts w:hint="eastAsia"/>
          <w:sz w:val="32"/>
          <w:szCs w:val="32"/>
          <w:lang w:eastAsia="zh-CN"/>
        </w:rPr>
        <w:t>桃源县市场监督管理局</w:t>
      </w:r>
      <w:r>
        <w:rPr>
          <w:sz w:val="32"/>
          <w:szCs w:val="32"/>
        </w:rPr>
        <w:t>202</w:t>
      </w:r>
      <w:r>
        <w:rPr>
          <w:rFonts w:hint="eastAsia"/>
          <w:sz w:val="32"/>
          <w:szCs w:val="32"/>
          <w:lang w:val="en-US" w:eastAsia="zh-CN"/>
        </w:rPr>
        <w:t>2</w:t>
      </w:r>
      <w:r>
        <w:rPr>
          <w:rFonts w:hint="eastAsia" w:cs="仿宋_GB2312"/>
          <w:sz w:val="32"/>
          <w:szCs w:val="32"/>
        </w:rPr>
        <w:t>年度年度一般公共预算财政拨款项目支出年初结转和结余</w:t>
      </w:r>
      <w:r>
        <w:rPr>
          <w:rFonts w:hint="eastAsia"/>
          <w:sz w:val="32"/>
          <w:szCs w:val="32"/>
          <w:lang w:val="en-US" w:eastAsia="zh-CN"/>
        </w:rPr>
        <w:t>334.75</w:t>
      </w:r>
      <w:r>
        <w:rPr>
          <w:rFonts w:hint="eastAsia" w:cs="仿宋_GB2312"/>
          <w:sz w:val="32"/>
          <w:szCs w:val="32"/>
        </w:rPr>
        <w:t>万元，本年收入</w:t>
      </w:r>
      <w:r>
        <w:rPr>
          <w:rFonts w:hint="eastAsia"/>
          <w:sz w:val="32"/>
          <w:szCs w:val="32"/>
          <w:lang w:val="en-US" w:eastAsia="zh-CN"/>
        </w:rPr>
        <w:t>840.67</w:t>
      </w:r>
      <w:r>
        <w:rPr>
          <w:rFonts w:hint="eastAsia" w:cs="仿宋_GB2312"/>
          <w:sz w:val="32"/>
          <w:szCs w:val="32"/>
        </w:rPr>
        <w:t>万元，本年支出</w:t>
      </w:r>
      <w:r>
        <w:rPr>
          <w:rFonts w:hint="eastAsia"/>
          <w:sz w:val="32"/>
          <w:szCs w:val="32"/>
          <w:lang w:val="en-US" w:eastAsia="zh-CN"/>
        </w:rPr>
        <w:t>1175.42</w:t>
      </w:r>
      <w:r>
        <w:rPr>
          <w:rFonts w:hint="eastAsia" w:cs="仿宋_GB2312"/>
          <w:sz w:val="32"/>
          <w:szCs w:val="32"/>
        </w:rPr>
        <w:t>万元，年末结转和结余</w:t>
      </w:r>
      <w:r>
        <w:rPr>
          <w:rFonts w:hint="eastAsia"/>
          <w:sz w:val="32"/>
          <w:szCs w:val="32"/>
          <w:lang w:val="en-US" w:eastAsia="zh-CN"/>
        </w:rPr>
        <w:t>0</w:t>
      </w:r>
      <w:r>
        <w:rPr>
          <w:rFonts w:hint="eastAsia" w:cs="仿宋_GB2312"/>
          <w:sz w:val="32"/>
          <w:szCs w:val="32"/>
        </w:rPr>
        <w:t>万元。</w:t>
      </w:r>
    </w:p>
    <w:p>
      <w:pPr>
        <w:pStyle w:val="12"/>
        <w:keepNext w:val="0"/>
        <w:keepLines w:val="0"/>
        <w:pageBreakBefore w:val="0"/>
        <w:widowControl/>
        <w:kinsoku/>
        <w:wordWrap/>
        <w:overflowPunct/>
        <w:topLinePunct w:val="0"/>
        <w:bidi w:val="0"/>
        <w:snapToGrid/>
        <w:spacing w:line="6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三、政府性基金预算支出情况</w:t>
      </w:r>
    </w:p>
    <w:p>
      <w:pPr>
        <w:pStyle w:val="12"/>
        <w:keepNext w:val="0"/>
        <w:keepLines w:val="0"/>
        <w:pageBreakBefore w:val="0"/>
        <w:widowControl/>
        <w:kinsoku/>
        <w:wordWrap/>
        <w:overflowPunct/>
        <w:topLinePunct w:val="0"/>
        <w:bidi w:val="0"/>
        <w:snapToGrid/>
        <w:spacing w:line="600" w:lineRule="exact"/>
        <w:ind w:firstLine="3168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12"/>
        <w:keepNext w:val="0"/>
        <w:keepLines w:val="0"/>
        <w:pageBreakBefore w:val="0"/>
        <w:widowControl/>
        <w:numPr>
          <w:ilvl w:val="0"/>
          <w:numId w:val="1"/>
        </w:numPr>
        <w:kinsoku/>
        <w:wordWrap/>
        <w:overflowPunct/>
        <w:topLinePunct w:val="0"/>
        <w:bidi w:val="0"/>
        <w:snapToGrid/>
        <w:spacing w:line="6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国有资本经营预算支出情况</w:t>
      </w:r>
    </w:p>
    <w:p>
      <w:pPr>
        <w:pStyle w:val="12"/>
        <w:keepNext w:val="0"/>
        <w:keepLines w:val="0"/>
        <w:pageBreakBefore w:val="0"/>
        <w:widowControl/>
        <w:kinsoku/>
        <w:wordWrap/>
        <w:overflowPunct/>
        <w:topLinePunct w:val="0"/>
        <w:bidi w:val="0"/>
        <w:snapToGrid/>
        <w:spacing w:line="600" w:lineRule="exact"/>
        <w:ind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pStyle w:val="12"/>
        <w:keepNext w:val="0"/>
        <w:keepLines w:val="0"/>
        <w:pageBreakBefore w:val="0"/>
        <w:widowControl/>
        <w:numPr>
          <w:ilvl w:val="0"/>
          <w:numId w:val="1"/>
        </w:numPr>
        <w:kinsoku/>
        <w:wordWrap/>
        <w:overflowPunct/>
        <w:topLinePunct w:val="0"/>
        <w:bidi w:val="0"/>
        <w:snapToGrid/>
        <w:spacing w:line="600" w:lineRule="exact"/>
        <w:ind w:firstLine="31680"/>
        <w:jc w:val="left"/>
        <w:rPr>
          <w:rFonts w:ascii="Times New Roman" w:hAnsi="Times New Roman" w:eastAsia="黑体" w:cs="Times New Roman"/>
          <w:sz w:val="32"/>
          <w:szCs w:val="32"/>
        </w:rPr>
      </w:pPr>
      <w:r>
        <w:rPr>
          <w:rFonts w:hint="eastAsia" w:ascii="Times New Roman" w:hAnsi="Times New Roman" w:eastAsia="黑体" w:cs="黑体"/>
          <w:sz w:val="32"/>
          <w:szCs w:val="32"/>
        </w:rPr>
        <w:t>社会保险基金预算支出情况</w:t>
      </w:r>
    </w:p>
    <w:p>
      <w:pPr>
        <w:pStyle w:val="12"/>
        <w:keepNext w:val="0"/>
        <w:keepLines w:val="0"/>
        <w:pageBreakBefore w:val="0"/>
        <w:widowControl/>
        <w:kinsoku/>
        <w:wordWrap/>
        <w:overflowPunct/>
        <w:topLinePunct w:val="0"/>
        <w:bidi w:val="0"/>
        <w:snapToGrid/>
        <w:spacing w:line="600" w:lineRule="exact"/>
        <w:ind w:left="560" w:leftChars="200" w:firstLine="0" w:firstLineChars="0"/>
        <w:jc w:val="left"/>
        <w:rPr>
          <w:rFonts w:ascii="Times New Roman" w:hAnsi="Times New Roman" w:cs="Times New Roman"/>
          <w:sz w:val="30"/>
          <w:szCs w:val="30"/>
        </w:rPr>
      </w:pPr>
      <w:r>
        <w:rPr>
          <w:rFonts w:ascii="Times New Roman" w:hAnsi="Times New Roman" w:eastAsia="黑体" w:cs="Times New Roman"/>
          <w:sz w:val="32"/>
          <w:szCs w:val="32"/>
        </w:rPr>
        <w:t xml:space="preserve">     </w:t>
      </w:r>
      <w:r>
        <w:rPr>
          <w:rFonts w:hint="eastAsia" w:ascii="Times New Roman" w:hAnsi="Times New Roman" w:cs="仿宋_GB2312"/>
          <w:sz w:val="30"/>
          <w:szCs w:val="30"/>
        </w:rPr>
        <w:t>无</w:t>
      </w:r>
    </w:p>
    <w:p>
      <w:pPr>
        <w:keepNext w:val="0"/>
        <w:keepLines w:val="0"/>
        <w:pageBreakBefore w:val="0"/>
        <w:widowControl/>
        <w:kinsoku/>
        <w:wordWrap/>
        <w:overflowPunct/>
        <w:topLinePunct w:val="0"/>
        <w:bidi w:val="0"/>
        <w:snapToGrid/>
        <w:spacing w:line="600" w:lineRule="exact"/>
        <w:ind w:firstLine="645"/>
        <w:jc w:val="left"/>
        <w:rPr>
          <w:rFonts w:eastAsia="黑体"/>
          <w:sz w:val="32"/>
          <w:szCs w:val="32"/>
        </w:rPr>
      </w:pPr>
      <w:r>
        <w:rPr>
          <w:rFonts w:hint="eastAsia" w:eastAsia="黑体" w:cs="黑体"/>
          <w:sz w:val="32"/>
          <w:szCs w:val="32"/>
        </w:rPr>
        <w:t>六、部门整体支出绩效情况</w:t>
      </w:r>
    </w:p>
    <w:p>
      <w:pPr>
        <w:keepNext w:val="0"/>
        <w:keepLines w:val="0"/>
        <w:pageBreakBefore w:val="0"/>
        <w:widowControl/>
        <w:kinsoku/>
        <w:wordWrap/>
        <w:overflowPunct/>
        <w:topLinePunct w:val="0"/>
        <w:bidi w:val="0"/>
        <w:snapToGrid/>
        <w:spacing w:line="600" w:lineRule="exact"/>
        <w:ind w:firstLine="640" w:firstLineChars="200"/>
        <w:rPr>
          <w:rFonts w:eastAsia="楷体_GB2312"/>
          <w:sz w:val="32"/>
          <w:szCs w:val="32"/>
        </w:rPr>
      </w:pPr>
      <w:r>
        <w:rPr>
          <w:rFonts w:hint="eastAsia" w:eastAsia="楷体_GB2312" w:cs="楷体_GB2312"/>
          <w:sz w:val="32"/>
          <w:szCs w:val="32"/>
        </w:rPr>
        <w:t>（一）部门产出指标完成情况</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sz w:val="32"/>
          <w:szCs w:val="32"/>
        </w:rPr>
        <w:t>1.</w:t>
      </w:r>
      <w:r>
        <w:rPr>
          <w:rFonts w:hint="eastAsia" w:cs="仿宋_GB2312"/>
          <w:sz w:val="32"/>
          <w:szCs w:val="32"/>
        </w:rPr>
        <w:t>数量指标。新增各类市场主体注册登记</w:t>
      </w:r>
      <w:r>
        <w:rPr>
          <w:rFonts w:hint="eastAsia" w:cs="仿宋_GB2312"/>
          <w:sz w:val="32"/>
          <w:szCs w:val="32"/>
          <w:lang w:val="en-US" w:eastAsia="zh-CN"/>
        </w:rPr>
        <w:t>15871</w:t>
      </w:r>
      <w:r>
        <w:rPr>
          <w:rFonts w:hint="eastAsia" w:cs="仿宋_GB2312"/>
          <w:sz w:val="32"/>
          <w:szCs w:val="32"/>
        </w:rPr>
        <w:t>家，新增各类新开办企业免费刻制首套印章88</w:t>
      </w:r>
      <w:r>
        <w:rPr>
          <w:rFonts w:hint="eastAsia" w:cs="仿宋_GB2312"/>
          <w:sz w:val="32"/>
          <w:szCs w:val="32"/>
          <w:lang w:val="en-US" w:eastAsia="zh-CN"/>
        </w:rPr>
        <w:t>5</w:t>
      </w:r>
      <w:r>
        <w:rPr>
          <w:rFonts w:hint="eastAsia" w:cs="仿宋_GB2312"/>
          <w:sz w:val="32"/>
          <w:szCs w:val="32"/>
        </w:rPr>
        <w:t>家。新增培育指导成功注册商标</w:t>
      </w:r>
      <w:r>
        <w:rPr>
          <w:rFonts w:hint="eastAsia" w:cs="仿宋_GB2312"/>
          <w:sz w:val="32"/>
          <w:szCs w:val="32"/>
          <w:lang w:val="en-US" w:eastAsia="zh-CN"/>
        </w:rPr>
        <w:t>613</w:t>
      </w:r>
      <w:r>
        <w:rPr>
          <w:rFonts w:hint="eastAsia" w:cs="仿宋_GB2312"/>
          <w:sz w:val="32"/>
          <w:szCs w:val="32"/>
        </w:rPr>
        <w:t>件，新增发明专利申请</w:t>
      </w:r>
      <w:r>
        <w:rPr>
          <w:rFonts w:hint="eastAsia" w:cs="仿宋_GB2312"/>
          <w:sz w:val="32"/>
          <w:szCs w:val="32"/>
          <w:lang w:val="en-US" w:eastAsia="zh-CN"/>
        </w:rPr>
        <w:t>240</w:t>
      </w:r>
      <w:r>
        <w:rPr>
          <w:rFonts w:hint="eastAsia" w:cs="仿宋_GB2312"/>
          <w:sz w:val="32"/>
          <w:szCs w:val="32"/>
        </w:rPr>
        <w:t>件。双随机、一公开监管抽查注册登记在册企业</w:t>
      </w:r>
      <w:r>
        <w:rPr>
          <w:rFonts w:hint="eastAsia" w:cs="仿宋_GB2312"/>
          <w:sz w:val="32"/>
          <w:szCs w:val="32"/>
          <w:lang w:val="en-US" w:eastAsia="zh-CN"/>
        </w:rPr>
        <w:t>1174</w:t>
      </w:r>
      <w:r>
        <w:rPr>
          <w:rFonts w:hint="eastAsia" w:cs="仿宋_GB2312"/>
          <w:sz w:val="32"/>
          <w:szCs w:val="32"/>
        </w:rPr>
        <w:t>家。全年开展各项专项整治60余次，监督抽查食用农产品、其他食品2</w:t>
      </w:r>
      <w:r>
        <w:rPr>
          <w:rFonts w:hint="eastAsia" w:cs="仿宋_GB2312"/>
          <w:sz w:val="32"/>
          <w:szCs w:val="32"/>
          <w:lang w:val="en-US" w:eastAsia="zh-CN"/>
        </w:rPr>
        <w:t>400</w:t>
      </w:r>
      <w:r>
        <w:rPr>
          <w:rFonts w:hint="eastAsia" w:cs="仿宋_GB2312"/>
          <w:sz w:val="32"/>
          <w:szCs w:val="32"/>
        </w:rPr>
        <w:t>批次，</w:t>
      </w:r>
      <w:r>
        <w:rPr>
          <w:rFonts w:ascii="Times New Roman" w:hAnsi="Times New Roman" w:eastAsia="仿宋_GB2312" w:cs="Times New Roman"/>
          <w:sz w:val="32"/>
          <w:szCs w:val="32"/>
        </w:rPr>
        <w:t>检查食品经营生产主体6628户</w:t>
      </w:r>
      <w:r>
        <w:rPr>
          <w:rFonts w:hint="eastAsia" w:ascii="Times New Roman" w:hAnsi="Times New Roman" w:cs="Times New Roman"/>
          <w:sz w:val="32"/>
          <w:szCs w:val="32"/>
          <w:lang w:eastAsia="zh-CN"/>
        </w:rPr>
        <w:t>，</w:t>
      </w:r>
      <w:r>
        <w:rPr>
          <w:rFonts w:ascii="Times New Roman" w:hAnsi="Times New Roman" w:eastAsia="仿宋_GB2312" w:cs="Times New Roman"/>
          <w:sz w:val="32"/>
          <w:szCs w:val="32"/>
        </w:rPr>
        <w:t>完成了高考、中考和两会重大活动等食品安全保障工作10次</w:t>
      </w:r>
      <w:r>
        <w:rPr>
          <w:rFonts w:hint="eastAsia" w:ascii="Times New Roman" w:hAnsi="Times New Roman" w:cs="Times New Roman"/>
          <w:sz w:val="32"/>
          <w:szCs w:val="32"/>
          <w:lang w:eastAsia="zh-CN"/>
        </w:rPr>
        <w:t>。</w:t>
      </w:r>
      <w:r>
        <w:rPr>
          <w:rFonts w:hint="eastAsia" w:cs="仿宋_GB2312"/>
          <w:sz w:val="32"/>
          <w:szCs w:val="32"/>
        </w:rPr>
        <w:t>开展药品、化妆品日常监督检查10</w:t>
      </w:r>
      <w:r>
        <w:rPr>
          <w:rFonts w:hint="eastAsia" w:cs="仿宋_GB2312"/>
          <w:sz w:val="32"/>
          <w:szCs w:val="32"/>
          <w:lang w:val="en-US" w:eastAsia="zh-CN"/>
        </w:rPr>
        <w:t>34</w:t>
      </w:r>
      <w:r>
        <w:rPr>
          <w:rFonts w:hint="eastAsia" w:cs="仿宋_GB2312"/>
          <w:sz w:val="32"/>
          <w:szCs w:val="32"/>
        </w:rPr>
        <w:t>家次。检查特种设备使用单位139家。受理各类投诉举报</w:t>
      </w:r>
      <w:r>
        <w:rPr>
          <w:rFonts w:hint="eastAsia" w:cs="仿宋_GB2312"/>
          <w:sz w:val="32"/>
          <w:szCs w:val="32"/>
          <w:lang w:val="en-US" w:eastAsia="zh-CN"/>
        </w:rPr>
        <w:t>2560</w:t>
      </w:r>
      <w:r>
        <w:rPr>
          <w:rFonts w:hint="eastAsia" w:cs="仿宋_GB2312"/>
          <w:sz w:val="32"/>
          <w:szCs w:val="32"/>
        </w:rPr>
        <w:t>件。抽检农资产品、烟花爆竹、建材、成品油等1</w:t>
      </w:r>
      <w:r>
        <w:rPr>
          <w:rFonts w:hint="eastAsia" w:cs="仿宋_GB2312"/>
          <w:sz w:val="32"/>
          <w:szCs w:val="32"/>
          <w:lang w:val="en-US" w:eastAsia="zh-CN"/>
        </w:rPr>
        <w:t>60</w:t>
      </w:r>
      <w:r>
        <w:rPr>
          <w:rFonts w:hint="eastAsia" w:cs="仿宋_GB2312"/>
          <w:sz w:val="32"/>
          <w:szCs w:val="32"/>
        </w:rPr>
        <w:t>批次。全县企业自主申报检定二次加油机</w:t>
      </w:r>
      <w:r>
        <w:rPr>
          <w:rFonts w:hint="eastAsia" w:cs="仿宋_GB2312"/>
          <w:sz w:val="32"/>
          <w:szCs w:val="32"/>
          <w:lang w:val="en-US" w:eastAsia="zh-CN"/>
        </w:rPr>
        <w:t>1300</w:t>
      </w:r>
      <w:r>
        <w:rPr>
          <w:rFonts w:hint="eastAsia" w:cs="仿宋_GB2312"/>
          <w:sz w:val="32"/>
          <w:szCs w:val="32"/>
        </w:rPr>
        <w:t>枪、压力表</w:t>
      </w:r>
      <w:r>
        <w:rPr>
          <w:rFonts w:hint="eastAsia" w:cs="仿宋_GB2312"/>
          <w:sz w:val="32"/>
          <w:szCs w:val="32"/>
          <w:lang w:val="en-US" w:eastAsia="zh-CN"/>
        </w:rPr>
        <w:t>780</w:t>
      </w:r>
      <w:r>
        <w:rPr>
          <w:rFonts w:hint="eastAsia" w:cs="仿宋_GB2312"/>
          <w:sz w:val="32"/>
          <w:szCs w:val="32"/>
        </w:rPr>
        <w:t>块，全县企业自主申报检定有血压计</w:t>
      </w:r>
      <w:r>
        <w:rPr>
          <w:rFonts w:hint="eastAsia" w:cs="仿宋_GB2312"/>
          <w:sz w:val="32"/>
          <w:szCs w:val="32"/>
          <w:lang w:val="en-US" w:eastAsia="zh-CN"/>
        </w:rPr>
        <w:t>310</w:t>
      </w:r>
      <w:r>
        <w:rPr>
          <w:rFonts w:hint="eastAsia" w:cs="仿宋_GB2312"/>
          <w:sz w:val="32"/>
          <w:szCs w:val="32"/>
        </w:rPr>
        <w:t>台，有天平、各类秤</w:t>
      </w:r>
      <w:r>
        <w:rPr>
          <w:rFonts w:hint="eastAsia" w:cs="仿宋_GB2312"/>
          <w:sz w:val="32"/>
          <w:szCs w:val="32"/>
          <w:lang w:val="en-US" w:eastAsia="zh-CN"/>
        </w:rPr>
        <w:t>600</w:t>
      </w:r>
      <w:r>
        <w:rPr>
          <w:rFonts w:hint="eastAsia" w:cs="仿宋_GB2312"/>
          <w:sz w:val="32"/>
          <w:szCs w:val="32"/>
        </w:rPr>
        <w:t>台。开展党史教育集中学习12次。</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sz w:val="32"/>
          <w:szCs w:val="32"/>
        </w:rPr>
        <w:t>2.</w:t>
      </w:r>
      <w:r>
        <w:rPr>
          <w:rFonts w:hint="eastAsia" w:cs="仿宋_GB2312"/>
          <w:sz w:val="32"/>
          <w:szCs w:val="32"/>
        </w:rPr>
        <w:t>质量指标。各类市场主体注册登记办结率100%。新开办企业首套印章免费刻制率100%。双随机、一公开监管检查问题整改落实率100%。培育指导注册商标率100%。发明专利申请量任务完成率100%。各类案件办结率100%。食品安全监督抽查信息公布率100%。检查食品生产企业覆盖率100%。食品安全管理员考核覆盖率100%。药品、化妆品市场检查覆盖率100%。抽检不合格食品及药品销毁处置率</w:t>
      </w:r>
      <w:r>
        <w:rPr>
          <w:rFonts w:hint="eastAsia" w:cs="仿宋_GB2312"/>
          <w:sz w:val="32"/>
          <w:szCs w:val="32"/>
          <w:lang w:val="en-US" w:eastAsia="zh-CN"/>
        </w:rPr>
        <w:t>100%。专项整治及监管检查发现问题交办企业整改率100%。</w:t>
      </w:r>
      <w:r>
        <w:rPr>
          <w:rFonts w:hint="eastAsia" w:cs="仿宋_GB2312"/>
          <w:sz w:val="32"/>
          <w:szCs w:val="32"/>
        </w:rPr>
        <w:t>安全检查完成率100%。安全隐患整改到位率100%。举报投诉件处理率100%。农资产品、烟花爆竹、建材、成品油等产品质量抽检问题处理率100%。开展党史教育学习覆盖率100%。</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sz w:val="32"/>
          <w:szCs w:val="32"/>
        </w:rPr>
        <w:t>3.</w:t>
      </w:r>
      <w:r>
        <w:rPr>
          <w:rFonts w:hint="eastAsia" w:cs="仿宋_GB2312"/>
          <w:sz w:val="32"/>
          <w:szCs w:val="32"/>
        </w:rPr>
        <w:t>时效指标。</w:t>
      </w:r>
      <w:r>
        <w:rPr>
          <w:rFonts w:hint="eastAsia" w:ascii="仿宋_GB2312" w:hAnsi="Times New Roman" w:eastAsia="仿宋_GB2312" w:cs="黑体"/>
          <w:color w:val="000000"/>
          <w:kern w:val="0"/>
          <w:sz w:val="32"/>
          <w:szCs w:val="32"/>
        </w:rPr>
        <w:t>各类消费者投诉举报处理时效为</w:t>
      </w:r>
      <w:r>
        <w:rPr>
          <w:rFonts w:hint="eastAsia" w:ascii="Times New Roman" w:hAnsi="Times New Roman" w:eastAsia="仿宋_GB2312" w:cs="Times New Roman"/>
          <w:color w:val="000000"/>
          <w:kern w:val="0"/>
          <w:sz w:val="32"/>
          <w:szCs w:val="32"/>
        </w:rPr>
        <w:t>7</w:t>
      </w:r>
      <w:r>
        <w:rPr>
          <w:rFonts w:hint="eastAsia" w:ascii="仿宋_GB2312" w:hAnsi="Times New Roman" w:eastAsia="仿宋_GB2312" w:cs="黑体"/>
          <w:color w:val="000000"/>
          <w:kern w:val="0"/>
          <w:sz w:val="32"/>
          <w:szCs w:val="32"/>
        </w:rPr>
        <w:t>个工作日。抽查食用农产品、其他食品时效为</w:t>
      </w:r>
      <w:r>
        <w:rPr>
          <w:rFonts w:hint="eastAsia" w:ascii="Times New Roman" w:hAnsi="Times New Roman" w:eastAsia="仿宋_GB2312" w:cs="Times New Roman"/>
          <w:color w:val="000000"/>
          <w:kern w:val="0"/>
          <w:sz w:val="32"/>
          <w:szCs w:val="32"/>
        </w:rPr>
        <w:t>202</w:t>
      </w:r>
      <w:r>
        <w:rPr>
          <w:rFonts w:hint="eastAsia" w:cs="Times New Roman"/>
          <w:color w:val="000000"/>
          <w:kern w:val="0"/>
          <w:sz w:val="32"/>
          <w:szCs w:val="32"/>
          <w:lang w:val="en-US" w:eastAsia="zh-CN"/>
        </w:rPr>
        <w:t>2</w:t>
      </w:r>
      <w:r>
        <w:rPr>
          <w:rFonts w:hint="eastAsia" w:ascii="仿宋_GB2312" w:hAnsi="Times New Roman" w:eastAsia="仿宋_GB2312" w:cs="黑体"/>
          <w:color w:val="000000"/>
          <w:kern w:val="0"/>
          <w:sz w:val="32"/>
          <w:szCs w:val="32"/>
        </w:rPr>
        <w:t>年</w:t>
      </w:r>
      <w:r>
        <w:rPr>
          <w:rFonts w:hint="eastAsia" w:cs="Times New Roman"/>
          <w:color w:val="000000"/>
          <w:kern w:val="0"/>
          <w:sz w:val="32"/>
          <w:szCs w:val="32"/>
          <w:lang w:val="en-US" w:eastAsia="zh-CN"/>
        </w:rPr>
        <w:t>1</w:t>
      </w:r>
      <w:r>
        <w:rPr>
          <w:rFonts w:hint="eastAsia" w:ascii="仿宋_GB2312" w:hAnsi="Times New Roman" w:eastAsia="仿宋_GB2312" w:cs="黑体"/>
          <w:color w:val="000000"/>
          <w:kern w:val="0"/>
          <w:sz w:val="32"/>
          <w:szCs w:val="32"/>
        </w:rPr>
        <w:t>-</w:t>
      </w:r>
      <w:r>
        <w:rPr>
          <w:rFonts w:hint="eastAsia" w:cs="Times New Roman"/>
          <w:color w:val="000000"/>
          <w:kern w:val="0"/>
          <w:sz w:val="32"/>
          <w:szCs w:val="32"/>
          <w:lang w:val="en-US" w:eastAsia="zh-CN"/>
        </w:rPr>
        <w:t>12</w:t>
      </w:r>
      <w:r>
        <w:rPr>
          <w:rFonts w:hint="eastAsia" w:ascii="仿宋_GB2312" w:hAnsi="Times New Roman" w:eastAsia="仿宋_GB2312" w:cs="黑体"/>
          <w:color w:val="000000"/>
          <w:kern w:val="0"/>
          <w:sz w:val="32"/>
          <w:szCs w:val="32"/>
        </w:rPr>
        <w:t>月。任务及时完成率</w:t>
      </w:r>
      <w:r>
        <w:rPr>
          <w:rFonts w:hint="eastAsia" w:ascii="Times New Roman" w:hAnsi="Times New Roman" w:eastAsia="仿宋_GB2312" w:cs="Times New Roman"/>
          <w:color w:val="000000"/>
          <w:kern w:val="0"/>
          <w:sz w:val="32"/>
          <w:szCs w:val="32"/>
        </w:rPr>
        <w:t>100%</w:t>
      </w:r>
      <w:r>
        <w:rPr>
          <w:rFonts w:hint="eastAsia" w:cs="仿宋_GB2312"/>
          <w:sz w:val="32"/>
          <w:szCs w:val="32"/>
        </w:rPr>
        <w:t>。</w:t>
      </w:r>
    </w:p>
    <w:p>
      <w:pPr>
        <w:keepNext w:val="0"/>
        <w:keepLines w:val="0"/>
        <w:pageBreakBefore w:val="0"/>
        <w:widowControl/>
        <w:kinsoku/>
        <w:wordWrap/>
        <w:overflowPunct/>
        <w:topLinePunct w:val="0"/>
        <w:bidi w:val="0"/>
        <w:snapToGrid/>
        <w:spacing w:line="600" w:lineRule="exact"/>
        <w:ind w:firstLine="640" w:firstLineChars="200"/>
        <w:rPr>
          <w:sz w:val="32"/>
          <w:szCs w:val="32"/>
        </w:rPr>
      </w:pPr>
      <w:r>
        <w:rPr>
          <w:sz w:val="32"/>
          <w:szCs w:val="32"/>
        </w:rPr>
        <w:t>4.</w:t>
      </w:r>
      <w:r>
        <w:rPr>
          <w:rFonts w:hint="eastAsia" w:cs="仿宋_GB2312"/>
          <w:sz w:val="32"/>
          <w:szCs w:val="32"/>
        </w:rPr>
        <w:t>成本指标。成本发生规范合理率</w:t>
      </w:r>
      <w:r>
        <w:rPr>
          <w:sz w:val="32"/>
          <w:szCs w:val="32"/>
        </w:rPr>
        <w:t>100%</w:t>
      </w:r>
      <w:r>
        <w:rPr>
          <w:rFonts w:hint="eastAsia" w:cs="仿宋_GB2312"/>
          <w:sz w:val="32"/>
          <w:szCs w:val="32"/>
        </w:rPr>
        <w:t>。</w:t>
      </w:r>
    </w:p>
    <w:p>
      <w:pPr>
        <w:keepNext w:val="0"/>
        <w:keepLines w:val="0"/>
        <w:pageBreakBefore w:val="0"/>
        <w:widowControl/>
        <w:kinsoku/>
        <w:wordWrap/>
        <w:overflowPunct/>
        <w:topLinePunct w:val="0"/>
        <w:bidi w:val="0"/>
        <w:snapToGrid/>
        <w:spacing w:line="600" w:lineRule="exact"/>
        <w:ind w:firstLine="640" w:firstLineChars="200"/>
        <w:rPr>
          <w:sz w:val="30"/>
          <w:szCs w:val="30"/>
        </w:rPr>
      </w:pPr>
      <w:r>
        <w:rPr>
          <w:rFonts w:hint="eastAsia" w:eastAsia="楷体_GB2312" w:cs="楷体_GB2312"/>
          <w:sz w:val="32"/>
          <w:szCs w:val="32"/>
        </w:rPr>
        <w:t>（二）部门效益指标完成情况</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cs="仿宋_GB2312"/>
          <w:color w:val="222222"/>
          <w:kern w:val="0"/>
          <w:sz w:val="32"/>
          <w:szCs w:val="32"/>
          <w:lang w:val="en-US" w:eastAsia="zh-CN"/>
        </w:rPr>
        <w:t>1.</w:t>
      </w:r>
      <w:r>
        <w:rPr>
          <w:rFonts w:hint="eastAsia" w:ascii="仿宋_GB2312" w:eastAsia="仿宋_GB2312" w:cs="仿宋_GB2312"/>
          <w:color w:val="222222"/>
          <w:kern w:val="0"/>
          <w:sz w:val="32"/>
          <w:szCs w:val="32"/>
        </w:rPr>
        <w:t>坚持改革攻坚，在全面深化改革中不断优化营商环境</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eastAsia="仿宋_GB2312" w:cs="仿宋_GB2312"/>
          <w:color w:val="222222"/>
          <w:kern w:val="0"/>
          <w:sz w:val="32"/>
          <w:szCs w:val="32"/>
        </w:rPr>
        <w:t>推进注册登记便利化。依托“互联网+政务服务”一体化平台，实现企业开办全流程网办，全年推行名称自主申报，共办理名称自主申报</w:t>
      </w:r>
      <w:r>
        <w:rPr>
          <w:rFonts w:hint="eastAsia" w:ascii="仿宋_GB2312" w:eastAsia="仿宋_GB2312" w:cs="仿宋_GB2312"/>
          <w:color w:val="222222"/>
          <w:kern w:val="0"/>
          <w:sz w:val="32"/>
          <w:szCs w:val="32"/>
          <w:lang w:val="en-US" w:eastAsia="zh-CN"/>
        </w:rPr>
        <w:t>5854</w:t>
      </w:r>
      <w:r>
        <w:rPr>
          <w:rFonts w:hint="eastAsia" w:ascii="仿宋_GB2312" w:eastAsia="仿宋_GB2312" w:cs="仿宋_GB2312"/>
          <w:color w:val="222222"/>
          <w:kern w:val="0"/>
          <w:sz w:val="32"/>
          <w:szCs w:val="32"/>
        </w:rPr>
        <w:t>件；扎实推进简易注销改革,共为</w:t>
      </w:r>
      <w:r>
        <w:rPr>
          <w:rFonts w:hint="eastAsia" w:ascii="仿宋_GB2312" w:eastAsia="仿宋_GB2312" w:cs="仿宋_GB2312"/>
          <w:color w:val="222222"/>
          <w:kern w:val="0"/>
          <w:sz w:val="32"/>
          <w:szCs w:val="32"/>
          <w:lang w:val="en-US" w:eastAsia="zh-CN"/>
        </w:rPr>
        <w:t>345</w:t>
      </w:r>
      <w:r>
        <w:rPr>
          <w:rFonts w:hint="eastAsia" w:ascii="仿宋_GB2312" w:eastAsia="仿宋_GB2312" w:cs="仿宋_GB2312"/>
          <w:color w:val="222222"/>
          <w:kern w:val="0"/>
          <w:sz w:val="32"/>
          <w:szCs w:val="32"/>
        </w:rPr>
        <w:t>家企业办理了简易注销登记。今年新登记各类市场主体户</w:t>
      </w:r>
      <w:r>
        <w:rPr>
          <w:rFonts w:hint="eastAsia" w:ascii="仿宋_GB2312" w:eastAsia="仿宋_GB2312" w:cs="仿宋_GB2312"/>
          <w:color w:val="222222"/>
          <w:kern w:val="0"/>
          <w:sz w:val="32"/>
          <w:szCs w:val="32"/>
          <w:lang w:val="en-US" w:eastAsia="zh-CN"/>
        </w:rPr>
        <w:t>15871</w:t>
      </w:r>
      <w:r>
        <w:rPr>
          <w:rFonts w:hint="eastAsia" w:ascii="仿宋_GB2312" w:eastAsia="仿宋_GB2312" w:cs="仿宋_GB2312"/>
          <w:color w:val="222222"/>
          <w:kern w:val="0"/>
          <w:sz w:val="32"/>
          <w:szCs w:val="32"/>
        </w:rPr>
        <w:t>户，其中各类企业新增</w:t>
      </w:r>
      <w:r>
        <w:rPr>
          <w:rFonts w:hint="eastAsia" w:ascii="仿宋_GB2312" w:eastAsia="仿宋_GB2312" w:cs="仿宋_GB2312"/>
          <w:color w:val="222222"/>
          <w:kern w:val="0"/>
          <w:sz w:val="32"/>
          <w:szCs w:val="32"/>
          <w:lang w:val="en-US" w:eastAsia="zh-CN"/>
        </w:rPr>
        <w:t>6719</w:t>
      </w:r>
      <w:r>
        <w:rPr>
          <w:rFonts w:hint="eastAsia" w:ascii="仿宋_GB2312" w:eastAsia="仿宋_GB2312" w:cs="仿宋_GB2312"/>
          <w:color w:val="222222"/>
          <w:kern w:val="0"/>
          <w:sz w:val="32"/>
          <w:szCs w:val="32"/>
        </w:rPr>
        <w:t>户，较去年同期相比增长</w:t>
      </w:r>
      <w:r>
        <w:rPr>
          <w:rFonts w:hint="eastAsia" w:ascii="仿宋_GB2312" w:eastAsia="仿宋_GB2312" w:cs="仿宋_GB2312"/>
          <w:color w:val="222222"/>
          <w:kern w:val="0"/>
          <w:sz w:val="32"/>
          <w:szCs w:val="32"/>
          <w:lang w:val="en-US" w:eastAsia="zh-CN"/>
        </w:rPr>
        <w:t>597</w:t>
      </w:r>
      <w:r>
        <w:rPr>
          <w:rFonts w:hint="eastAsia" w:ascii="仿宋_GB2312" w:eastAsia="仿宋_GB2312" w:cs="仿宋_GB2312"/>
          <w:color w:val="222222"/>
          <w:kern w:val="0"/>
          <w:sz w:val="32"/>
          <w:szCs w:val="32"/>
        </w:rPr>
        <w:t>%。个体户新增</w:t>
      </w:r>
      <w:r>
        <w:rPr>
          <w:rFonts w:hint="eastAsia" w:ascii="仿宋_GB2312" w:eastAsia="仿宋_GB2312" w:cs="仿宋_GB2312"/>
          <w:color w:val="222222"/>
          <w:kern w:val="0"/>
          <w:sz w:val="32"/>
          <w:szCs w:val="32"/>
          <w:lang w:val="en-US" w:eastAsia="zh-CN"/>
        </w:rPr>
        <w:t>9152</w:t>
      </w:r>
      <w:r>
        <w:rPr>
          <w:rFonts w:hint="eastAsia" w:ascii="仿宋_GB2312" w:eastAsia="仿宋_GB2312" w:cs="仿宋_GB2312"/>
          <w:color w:val="222222"/>
          <w:kern w:val="0"/>
          <w:sz w:val="32"/>
          <w:szCs w:val="32"/>
        </w:rPr>
        <w:t>户，较去年同期相比</w:t>
      </w:r>
      <w:r>
        <w:rPr>
          <w:rFonts w:hint="eastAsia" w:ascii="仿宋_GB2312" w:eastAsia="仿宋_GB2312" w:cs="仿宋_GB2312"/>
          <w:color w:val="222222"/>
          <w:kern w:val="0"/>
          <w:sz w:val="32"/>
          <w:szCs w:val="32"/>
          <w:lang w:eastAsia="zh-CN"/>
        </w:rPr>
        <w:t>增加</w:t>
      </w:r>
      <w:r>
        <w:rPr>
          <w:rFonts w:hint="eastAsia" w:ascii="仿宋_GB2312" w:eastAsia="仿宋_GB2312" w:cs="仿宋_GB2312"/>
          <w:color w:val="222222"/>
          <w:kern w:val="0"/>
          <w:sz w:val="32"/>
          <w:szCs w:val="32"/>
          <w:lang w:val="en-US" w:eastAsia="zh-CN"/>
        </w:rPr>
        <w:t>182.12</w:t>
      </w:r>
      <w:r>
        <w:rPr>
          <w:rFonts w:hint="eastAsia" w:ascii="仿宋_GB2312" w:eastAsia="仿宋_GB2312" w:cs="仿宋_GB2312"/>
          <w:color w:val="222222"/>
          <w:kern w:val="0"/>
          <w:sz w:val="32"/>
          <w:szCs w:val="32"/>
        </w:rPr>
        <w:t>%。</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highlight w:val="none"/>
        </w:rPr>
      </w:pPr>
      <w:r>
        <w:rPr>
          <w:rFonts w:hint="eastAsia" w:ascii="仿宋_GB2312" w:eastAsia="仿宋_GB2312" w:cs="仿宋_GB2312"/>
          <w:color w:val="222222"/>
          <w:kern w:val="0"/>
          <w:sz w:val="32"/>
          <w:szCs w:val="32"/>
          <w:highlight w:val="none"/>
        </w:rPr>
        <w:t>推动行政执法有序化。持续完善“双随机、一公开”监管机制，制定202</w:t>
      </w:r>
      <w:r>
        <w:rPr>
          <w:rFonts w:hint="eastAsia" w:ascii="仿宋_GB2312" w:eastAsia="仿宋_GB2312" w:cs="仿宋_GB2312"/>
          <w:color w:val="222222"/>
          <w:kern w:val="0"/>
          <w:sz w:val="32"/>
          <w:szCs w:val="32"/>
          <w:highlight w:val="none"/>
          <w:lang w:val="en-US" w:eastAsia="zh-CN"/>
        </w:rPr>
        <w:t>2</w:t>
      </w:r>
      <w:r>
        <w:rPr>
          <w:rFonts w:hint="eastAsia" w:ascii="仿宋_GB2312" w:eastAsia="仿宋_GB2312" w:cs="仿宋_GB2312"/>
          <w:color w:val="222222"/>
          <w:kern w:val="0"/>
          <w:sz w:val="32"/>
          <w:szCs w:val="32"/>
          <w:highlight w:val="none"/>
        </w:rPr>
        <w:t>年度双随机抽查工作计划，包括</w:t>
      </w:r>
      <w:r>
        <w:rPr>
          <w:rFonts w:hint="eastAsia" w:ascii="仿宋_GB2312" w:eastAsia="仿宋_GB2312" w:cs="仿宋_GB2312"/>
          <w:color w:val="222222"/>
          <w:kern w:val="0"/>
          <w:sz w:val="32"/>
          <w:szCs w:val="32"/>
          <w:highlight w:val="none"/>
          <w:lang w:val="en-US" w:eastAsia="zh-CN"/>
        </w:rPr>
        <w:t>31</w:t>
      </w:r>
      <w:r>
        <w:rPr>
          <w:rFonts w:hint="eastAsia" w:ascii="仿宋_GB2312" w:eastAsia="仿宋_GB2312" w:cs="仿宋_GB2312"/>
          <w:color w:val="222222"/>
          <w:kern w:val="0"/>
          <w:sz w:val="32"/>
          <w:szCs w:val="32"/>
          <w:highlight w:val="none"/>
        </w:rPr>
        <w:t>项具体抽查任务；持续完善信用监管机制，引导市场主体、行政相对人梳理诚信经营观念，全年</w:t>
      </w:r>
      <w:r>
        <w:rPr>
          <w:rFonts w:hint="eastAsia" w:ascii="仿宋_GB2312" w:eastAsia="仿宋_GB2312" w:cs="仿宋_GB2312"/>
          <w:color w:val="222222"/>
          <w:kern w:val="0"/>
          <w:sz w:val="32"/>
          <w:szCs w:val="32"/>
          <w:highlight w:val="none"/>
          <w:lang w:eastAsia="zh-CN"/>
        </w:rPr>
        <w:t>共抽查登记在册企业</w:t>
      </w:r>
      <w:r>
        <w:rPr>
          <w:rFonts w:hint="eastAsia" w:ascii="仿宋_GB2312" w:eastAsia="仿宋_GB2312" w:cs="仿宋_GB2312"/>
          <w:color w:val="222222"/>
          <w:kern w:val="0"/>
          <w:sz w:val="32"/>
          <w:szCs w:val="32"/>
          <w:highlight w:val="none"/>
          <w:lang w:val="en-US" w:eastAsia="zh-CN"/>
        </w:rPr>
        <w:t>1174家，</w:t>
      </w:r>
      <w:r>
        <w:rPr>
          <w:rFonts w:hint="eastAsia" w:ascii="仿宋_GB2312" w:eastAsia="仿宋_GB2312" w:cs="仿宋_GB2312"/>
          <w:color w:val="222222"/>
          <w:kern w:val="0"/>
          <w:sz w:val="32"/>
          <w:szCs w:val="32"/>
          <w:highlight w:val="none"/>
        </w:rPr>
        <w:t>累计依法列入经营异常名录企业</w:t>
      </w:r>
      <w:r>
        <w:rPr>
          <w:rFonts w:hint="eastAsia" w:ascii="仿宋_GB2312" w:eastAsia="仿宋_GB2312" w:cs="仿宋_GB2312"/>
          <w:color w:val="222222"/>
          <w:kern w:val="0"/>
          <w:sz w:val="32"/>
          <w:szCs w:val="32"/>
          <w:highlight w:val="none"/>
          <w:lang w:val="en-US" w:eastAsia="zh-CN"/>
        </w:rPr>
        <w:t>553</w:t>
      </w:r>
      <w:r>
        <w:rPr>
          <w:rFonts w:hint="eastAsia" w:ascii="仿宋_GB2312" w:eastAsia="仿宋_GB2312" w:cs="仿宋_GB2312"/>
          <w:color w:val="222222"/>
          <w:kern w:val="0"/>
          <w:sz w:val="32"/>
          <w:szCs w:val="32"/>
          <w:highlight w:val="none"/>
        </w:rPr>
        <w:t>户；积极开展信用修复工作，累计办理经营异常名录信用修复</w:t>
      </w:r>
      <w:r>
        <w:rPr>
          <w:rFonts w:hint="eastAsia" w:ascii="仿宋_GB2312" w:eastAsia="仿宋_GB2312" w:cs="仿宋_GB2312"/>
          <w:color w:val="222222"/>
          <w:kern w:val="0"/>
          <w:sz w:val="32"/>
          <w:szCs w:val="32"/>
          <w:highlight w:val="none"/>
          <w:lang w:val="en-US" w:eastAsia="zh-CN"/>
        </w:rPr>
        <w:t>19</w:t>
      </w:r>
      <w:r>
        <w:rPr>
          <w:rFonts w:hint="eastAsia" w:ascii="仿宋_GB2312" w:eastAsia="仿宋_GB2312" w:cs="仿宋_GB2312"/>
          <w:color w:val="222222"/>
          <w:kern w:val="0"/>
          <w:sz w:val="32"/>
          <w:szCs w:val="32"/>
          <w:highlight w:val="none"/>
        </w:rPr>
        <w:t>件，指导</w:t>
      </w:r>
      <w:r>
        <w:rPr>
          <w:rFonts w:hint="eastAsia" w:ascii="仿宋_GB2312" w:eastAsia="仿宋_GB2312" w:cs="仿宋_GB2312"/>
          <w:color w:val="222222"/>
          <w:kern w:val="0"/>
          <w:sz w:val="32"/>
          <w:szCs w:val="32"/>
          <w:highlight w:val="none"/>
          <w:lang w:val="en-US" w:eastAsia="zh-CN"/>
        </w:rPr>
        <w:t>2</w:t>
      </w:r>
      <w:r>
        <w:rPr>
          <w:rFonts w:hint="eastAsia" w:ascii="仿宋_GB2312" w:eastAsia="仿宋_GB2312" w:cs="仿宋_GB2312"/>
          <w:color w:val="222222"/>
          <w:kern w:val="0"/>
          <w:sz w:val="32"/>
          <w:szCs w:val="32"/>
          <w:highlight w:val="none"/>
        </w:rPr>
        <w:t>户企业移出省局严重违法企业名单。持续完善案件查办制度，健全了执法管理制度，简化了办案人员的案件审核程序，严格规范了案件查办行为。</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eastAsia="仿宋_GB2312" w:cs="仿宋_GB2312"/>
          <w:color w:val="222222"/>
          <w:kern w:val="0"/>
          <w:sz w:val="32"/>
          <w:szCs w:val="32"/>
        </w:rPr>
        <w:t>推动政务服务优质化。继续实施企业开办首套印章免费赠送制度,共免费为</w:t>
      </w:r>
      <w:r>
        <w:rPr>
          <w:rFonts w:hint="eastAsia" w:ascii="仿宋_GB2312" w:eastAsia="仿宋_GB2312" w:cs="仿宋_GB2312"/>
          <w:color w:val="222222"/>
          <w:kern w:val="0"/>
          <w:sz w:val="32"/>
          <w:szCs w:val="32"/>
          <w:lang w:val="en-US" w:eastAsia="zh-CN"/>
        </w:rPr>
        <w:t>885</w:t>
      </w:r>
      <w:r>
        <w:rPr>
          <w:rFonts w:hint="eastAsia" w:ascii="仿宋_GB2312" w:eastAsia="仿宋_GB2312" w:cs="仿宋_GB2312"/>
          <w:color w:val="222222"/>
          <w:kern w:val="0"/>
          <w:sz w:val="32"/>
          <w:szCs w:val="32"/>
        </w:rPr>
        <w:t>家新开办企业刻制首套印章，并免费赠送营业执照框;先后办理专利质押备案登记</w:t>
      </w:r>
      <w:r>
        <w:rPr>
          <w:rFonts w:hint="eastAsia" w:ascii="仿宋_GB2312" w:eastAsia="仿宋_GB2312" w:cs="仿宋_GB2312"/>
          <w:color w:val="222222"/>
          <w:kern w:val="0"/>
          <w:sz w:val="32"/>
          <w:szCs w:val="32"/>
          <w:lang w:val="en-US" w:eastAsia="zh-CN"/>
        </w:rPr>
        <w:t>11</w:t>
      </w:r>
      <w:r>
        <w:rPr>
          <w:rFonts w:hint="eastAsia" w:ascii="仿宋_GB2312" w:eastAsia="仿宋_GB2312" w:cs="仿宋_GB2312"/>
          <w:color w:val="222222"/>
          <w:kern w:val="0"/>
          <w:sz w:val="32"/>
          <w:szCs w:val="32"/>
        </w:rPr>
        <w:t>笔，融资额合计</w:t>
      </w:r>
      <w:r>
        <w:rPr>
          <w:rFonts w:hint="eastAsia" w:ascii="仿宋_GB2312" w:eastAsia="仿宋_GB2312" w:cs="仿宋_GB2312"/>
          <w:color w:val="222222"/>
          <w:kern w:val="0"/>
          <w:sz w:val="32"/>
          <w:szCs w:val="32"/>
          <w:lang w:val="en-US" w:eastAsia="zh-CN"/>
        </w:rPr>
        <w:t>5628.5</w:t>
      </w:r>
      <w:r>
        <w:rPr>
          <w:rFonts w:hint="eastAsia" w:ascii="仿宋_GB2312" w:eastAsia="仿宋_GB2312" w:cs="仿宋_GB2312"/>
          <w:color w:val="222222"/>
          <w:kern w:val="0"/>
          <w:sz w:val="32"/>
          <w:szCs w:val="32"/>
        </w:rPr>
        <w:t>万元；深挖地方特色资源，加大商标培育力度</w:t>
      </w:r>
      <w:r>
        <w:rPr>
          <w:rFonts w:hint="eastAsia" w:ascii="仿宋_GB2312" w:eastAsia="仿宋_GB2312" w:cs="仿宋_GB2312"/>
          <w:color w:val="222222"/>
          <w:kern w:val="0"/>
          <w:sz w:val="32"/>
          <w:szCs w:val="32"/>
          <w:lang w:eastAsia="zh-CN"/>
        </w:rPr>
        <w:t>，</w:t>
      </w:r>
      <w:r>
        <w:rPr>
          <w:rFonts w:hint="eastAsia" w:ascii="仿宋_GB2312" w:eastAsia="仿宋_GB2312" w:cs="仿宋_GB2312"/>
          <w:color w:val="222222"/>
          <w:kern w:val="0"/>
          <w:sz w:val="32"/>
          <w:szCs w:val="32"/>
          <w:lang w:val="en-US" w:eastAsia="zh-CN"/>
        </w:rPr>
        <w:t>新增注册商标613件，</w:t>
      </w:r>
      <w:r>
        <w:rPr>
          <w:rFonts w:hint="eastAsia" w:ascii="仿宋_GB2312" w:eastAsia="仿宋_GB2312" w:cs="仿宋_GB2312"/>
          <w:color w:val="222222"/>
          <w:kern w:val="0"/>
          <w:sz w:val="32"/>
          <w:szCs w:val="32"/>
          <w:lang w:eastAsia="zh-CN"/>
        </w:rPr>
        <w:t>发明专项申请量</w:t>
      </w:r>
      <w:r>
        <w:rPr>
          <w:rFonts w:hint="eastAsia" w:ascii="仿宋_GB2312" w:eastAsia="仿宋_GB2312" w:cs="仿宋_GB2312"/>
          <w:color w:val="222222"/>
          <w:kern w:val="0"/>
          <w:sz w:val="32"/>
          <w:szCs w:val="32"/>
          <w:lang w:val="en-US" w:eastAsia="zh-CN"/>
        </w:rPr>
        <w:t>240件</w:t>
      </w:r>
      <w:r>
        <w:rPr>
          <w:rFonts w:hint="eastAsia" w:ascii="仿宋_GB2312" w:eastAsia="仿宋_GB2312" w:cs="仿宋_GB2312"/>
          <w:color w:val="222222"/>
          <w:kern w:val="0"/>
          <w:sz w:val="32"/>
          <w:szCs w:val="32"/>
        </w:rPr>
        <w:t>；聚焦民生关切，免费检定各类计量器具</w:t>
      </w:r>
      <w:r>
        <w:rPr>
          <w:rFonts w:hint="eastAsia" w:ascii="仿宋_GB2312" w:eastAsia="仿宋_GB2312" w:cs="仿宋_GB2312"/>
          <w:color w:val="222222"/>
          <w:kern w:val="0"/>
          <w:sz w:val="32"/>
          <w:szCs w:val="32"/>
          <w:lang w:val="en-US" w:eastAsia="zh-CN"/>
        </w:rPr>
        <w:t>1620</w:t>
      </w:r>
      <w:r>
        <w:rPr>
          <w:rFonts w:hint="eastAsia" w:ascii="仿宋_GB2312" w:eastAsia="仿宋_GB2312" w:cs="仿宋_GB2312"/>
          <w:color w:val="222222"/>
          <w:kern w:val="0"/>
          <w:sz w:val="32"/>
          <w:szCs w:val="32"/>
        </w:rPr>
        <w:t>台，共完成委托检验任务823批次。</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cs="仿宋_GB2312"/>
          <w:color w:val="222222"/>
          <w:kern w:val="0"/>
          <w:sz w:val="32"/>
          <w:szCs w:val="32"/>
          <w:lang w:val="en-US" w:eastAsia="zh-CN"/>
        </w:rPr>
        <w:t>2.</w:t>
      </w:r>
      <w:r>
        <w:rPr>
          <w:rFonts w:hint="eastAsia" w:ascii="仿宋_GB2312" w:eastAsia="仿宋_GB2312" w:cs="仿宋_GB2312"/>
          <w:color w:val="222222"/>
          <w:kern w:val="0"/>
          <w:sz w:val="32"/>
          <w:szCs w:val="32"/>
        </w:rPr>
        <w:t>坚持筑牢底线，在抓实监管举措中全力保障民生福祉</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eastAsia="仿宋_GB2312" w:cs="仿宋_GB2312"/>
          <w:color w:val="222222"/>
          <w:kern w:val="0"/>
          <w:sz w:val="32"/>
          <w:szCs w:val="32"/>
        </w:rPr>
        <w:t>食品安全监管坚持从严。</w:t>
      </w:r>
      <w:r>
        <w:rPr>
          <w:rFonts w:hint="eastAsia" w:ascii="仿宋_GB2312" w:hAnsi="Times New Roman" w:eastAsia="仿宋_GB2312" w:cs="仿宋_GB2312"/>
          <w:color w:val="000000"/>
          <w:kern w:val="0"/>
          <w:sz w:val="32"/>
          <w:szCs w:val="32"/>
        </w:rPr>
        <w:t>通过全方位、多视角、高密度的宣传，着力提高人民群众对食品安全示范县创建的知晓率和满意度</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lang w:val="en-US" w:eastAsia="zh-CN"/>
        </w:rPr>
        <w:t>2022年5月份开展预防野生蘑菇中毒宣传日活动，9月份开展以“共创食安新发展 共享美好新生活”为主题的宣传周活动，在全县范围内</w:t>
      </w:r>
      <w:r>
        <w:rPr>
          <w:rFonts w:hint="eastAsia" w:ascii="仿宋_GB2312" w:hAnsi="Times New Roman" w:eastAsia="仿宋_GB2312" w:cs="仿宋_GB2312"/>
          <w:color w:val="000000"/>
          <w:kern w:val="0"/>
          <w:sz w:val="32"/>
          <w:szCs w:val="32"/>
        </w:rPr>
        <w:t>形成持续集中、声势强大的创建舆论氛围，指导引领基层创建工作，推动我县创建工作深入扎实开展。</w:t>
      </w:r>
      <w:r>
        <w:rPr>
          <w:rFonts w:hint="eastAsia" w:ascii="仿宋_GB2312" w:hAnsi="Times New Roman" w:eastAsia="仿宋_GB2312" w:cs="仿宋_GB2312"/>
          <w:color w:val="000000"/>
          <w:kern w:val="0"/>
          <w:sz w:val="32"/>
          <w:szCs w:val="32"/>
          <w:lang w:val="en-US" w:eastAsia="zh-CN"/>
        </w:rPr>
        <w:t>2022年</w:t>
      </w:r>
      <w:r>
        <w:rPr>
          <w:rFonts w:ascii="Times New Roman" w:hAnsi="Times New Roman" w:eastAsia="仿宋_GB2312" w:cs="Times New Roman"/>
          <w:sz w:val="32"/>
          <w:szCs w:val="32"/>
        </w:rPr>
        <w:t>共计检查食品经营生产主体6628户，检查覆盖率100%；完成风险评级100%；问题整改处置率100%。完成了高考、中考和两会重大活动等食品安全保障工作10次。</w:t>
      </w:r>
      <w:r>
        <w:rPr>
          <w:rFonts w:hint="eastAsia" w:ascii="仿宋_GB2312" w:eastAsia="仿宋_GB2312"/>
          <w:sz w:val="32"/>
          <w:szCs w:val="32"/>
        </w:rPr>
        <w:t>建立培训考核制度，建立培训档案，进一步加强食品生产经营单位负责人、食品安全管理人员和食品从业人员培训，</w:t>
      </w:r>
      <w:r>
        <w:rPr>
          <w:rFonts w:hint="eastAsia" w:ascii="仿宋_GB2312"/>
          <w:sz w:val="32"/>
          <w:szCs w:val="32"/>
          <w:lang w:eastAsia="zh-CN"/>
        </w:rPr>
        <w:t>食品安全管理员考核覆盖率</w:t>
      </w:r>
      <w:r>
        <w:rPr>
          <w:rFonts w:hint="eastAsia" w:ascii="仿宋_GB2312"/>
          <w:sz w:val="32"/>
          <w:szCs w:val="32"/>
          <w:lang w:val="en-US" w:eastAsia="zh-CN"/>
        </w:rPr>
        <w:t>100%，</w:t>
      </w:r>
      <w:r>
        <w:rPr>
          <w:rFonts w:hint="eastAsia" w:ascii="仿宋_GB2312" w:eastAsia="仿宋_GB2312"/>
          <w:sz w:val="32"/>
          <w:szCs w:val="32"/>
        </w:rPr>
        <w:t>提升基层食品安全管理水平</w:t>
      </w:r>
      <w:r>
        <w:rPr>
          <w:rFonts w:hint="eastAsia" w:ascii="仿宋_GB2312" w:eastAsia="仿宋_GB2312" w:cs="仿宋_GB2312"/>
          <w:color w:val="222222"/>
          <w:kern w:val="0"/>
          <w:sz w:val="32"/>
          <w:szCs w:val="32"/>
          <w:lang w:val="en-US" w:eastAsia="zh-CN"/>
        </w:rPr>
        <w:t>；全年共</w:t>
      </w:r>
      <w:r>
        <w:rPr>
          <w:rFonts w:hint="eastAsia" w:ascii="仿宋_GB2312" w:eastAsia="仿宋_GB2312" w:cs="仿宋_GB2312"/>
          <w:color w:val="222222"/>
          <w:kern w:val="0"/>
          <w:sz w:val="32"/>
          <w:szCs w:val="32"/>
        </w:rPr>
        <w:t>抽</w:t>
      </w:r>
      <w:r>
        <w:rPr>
          <w:rFonts w:hint="eastAsia" w:ascii="仿宋_GB2312" w:eastAsia="仿宋_GB2312" w:cs="仿宋_GB2312"/>
          <w:color w:val="222222"/>
          <w:kern w:val="0"/>
          <w:sz w:val="32"/>
          <w:szCs w:val="32"/>
          <w:lang w:eastAsia="zh-CN"/>
        </w:rPr>
        <w:t>样</w:t>
      </w:r>
      <w:r>
        <w:rPr>
          <w:rFonts w:hint="eastAsia" w:ascii="仿宋_GB2312" w:eastAsia="仿宋_GB2312" w:cs="仿宋_GB2312"/>
          <w:color w:val="222222"/>
          <w:kern w:val="0"/>
          <w:sz w:val="32"/>
          <w:szCs w:val="32"/>
        </w:rPr>
        <w:t>检</w:t>
      </w:r>
      <w:r>
        <w:rPr>
          <w:rFonts w:hint="eastAsia" w:ascii="仿宋_GB2312" w:eastAsia="仿宋_GB2312" w:cs="仿宋_GB2312"/>
          <w:color w:val="222222"/>
          <w:kern w:val="0"/>
          <w:sz w:val="32"/>
          <w:szCs w:val="32"/>
          <w:lang w:eastAsia="zh-CN"/>
        </w:rPr>
        <w:t>测</w:t>
      </w:r>
      <w:r>
        <w:rPr>
          <w:rFonts w:hint="eastAsia" w:ascii="仿宋_GB2312" w:eastAsia="仿宋_GB2312" w:cs="仿宋_GB2312"/>
          <w:color w:val="222222"/>
          <w:kern w:val="0"/>
          <w:sz w:val="32"/>
          <w:szCs w:val="32"/>
        </w:rPr>
        <w:t>各类食品</w:t>
      </w:r>
      <w:r>
        <w:rPr>
          <w:rFonts w:hint="eastAsia" w:ascii="仿宋_GB2312" w:eastAsia="仿宋_GB2312" w:cs="仿宋_GB2312"/>
          <w:color w:val="222222"/>
          <w:kern w:val="0"/>
          <w:sz w:val="32"/>
          <w:szCs w:val="32"/>
          <w:lang w:val="en-US" w:eastAsia="zh-CN"/>
        </w:rPr>
        <w:t>2400</w:t>
      </w:r>
      <w:r>
        <w:rPr>
          <w:rFonts w:hint="eastAsia" w:ascii="仿宋_GB2312" w:eastAsia="仿宋_GB2312" w:cs="仿宋_GB2312"/>
          <w:color w:val="222222"/>
          <w:kern w:val="0"/>
          <w:sz w:val="32"/>
          <w:szCs w:val="32"/>
        </w:rPr>
        <w:t>批次</w:t>
      </w:r>
      <w:r>
        <w:rPr>
          <w:rFonts w:hint="eastAsia" w:ascii="仿宋_GB2312" w:eastAsia="仿宋_GB2312" w:cs="仿宋_GB2312"/>
          <w:color w:val="222222"/>
          <w:kern w:val="0"/>
          <w:sz w:val="32"/>
          <w:szCs w:val="32"/>
          <w:lang w:eastAsia="zh-CN"/>
        </w:rPr>
        <w:t>，</w:t>
      </w:r>
      <w:r>
        <w:rPr>
          <w:rFonts w:hint="eastAsia" w:ascii="仿宋_GB2312" w:hAnsi="Times New Roman" w:eastAsia="仿宋_GB2312" w:cs="仿宋_GB2312"/>
          <w:color w:val="000000"/>
          <w:kern w:val="0"/>
          <w:sz w:val="32"/>
          <w:szCs w:val="32"/>
          <w:lang w:val="en-US" w:eastAsia="zh-CN"/>
        </w:rPr>
        <w:t>食品经营环节专项抽</w:t>
      </w:r>
      <w:r>
        <w:rPr>
          <w:rFonts w:hint="eastAsia" w:ascii="仿宋_GB2312" w:hAnsi="Times New Roman" w:eastAsia="仿宋_GB2312" w:cs="仿宋_GB2312"/>
          <w:color w:val="000000"/>
          <w:kern w:val="0"/>
          <w:sz w:val="32"/>
          <w:szCs w:val="32"/>
        </w:rPr>
        <w:t>检不合格食品处置率100%</w:t>
      </w:r>
      <w:r>
        <w:rPr>
          <w:rFonts w:hint="eastAsia" w:ascii="仿宋_GB2312" w:hAnsi="Times New Roman" w:eastAsia="仿宋_GB2312" w:cs="仿宋_GB2312"/>
          <w:color w:val="000000"/>
          <w:kern w:val="0"/>
          <w:sz w:val="32"/>
          <w:szCs w:val="32"/>
          <w:lang w:eastAsia="zh-CN"/>
        </w:rPr>
        <w:t>，</w:t>
      </w:r>
      <w:r>
        <w:rPr>
          <w:rFonts w:hint="eastAsia" w:ascii="仿宋_GB2312" w:hAnsi="Times New Roman" w:eastAsia="仿宋_GB2312" w:cs="仿宋_GB2312"/>
          <w:color w:val="000000"/>
          <w:kern w:val="0"/>
          <w:sz w:val="32"/>
          <w:szCs w:val="32"/>
        </w:rPr>
        <w:t>食品抽样信息公示率完成100%</w:t>
      </w:r>
      <w:r>
        <w:rPr>
          <w:rFonts w:hint="eastAsia" w:ascii="仿宋_GB2312" w:hAnsi="Times New Roman" w:eastAsia="仿宋_GB2312" w:cs="仿宋_GB2312"/>
          <w:color w:val="000000"/>
          <w:kern w:val="0"/>
          <w:sz w:val="32"/>
          <w:szCs w:val="32"/>
          <w:lang w:eastAsia="zh-CN"/>
        </w:rPr>
        <w:t>，为</w:t>
      </w:r>
      <w:r>
        <w:rPr>
          <w:rFonts w:eastAsia="仿宋_GB2312"/>
          <w:sz w:val="32"/>
          <w:szCs w:val="32"/>
        </w:rPr>
        <w:t>进一步做好食品安全工作，切实</w:t>
      </w:r>
      <w:r>
        <w:rPr>
          <w:rFonts w:hint="eastAsia" w:eastAsia="仿宋_GB2312"/>
          <w:sz w:val="32"/>
          <w:szCs w:val="32"/>
          <w:lang w:eastAsia="zh-CN"/>
        </w:rPr>
        <w:t>为</w:t>
      </w:r>
      <w:r>
        <w:rPr>
          <w:rFonts w:eastAsia="仿宋_GB2312"/>
          <w:sz w:val="32"/>
          <w:szCs w:val="32"/>
        </w:rPr>
        <w:t>加强</w:t>
      </w:r>
      <w:r>
        <w:rPr>
          <w:rFonts w:hint="eastAsia" w:eastAsia="仿宋_GB2312"/>
          <w:sz w:val="32"/>
          <w:szCs w:val="32"/>
          <w:lang w:eastAsia="zh-CN"/>
        </w:rPr>
        <w:t>食品</w:t>
      </w:r>
      <w:r>
        <w:rPr>
          <w:rFonts w:eastAsia="仿宋_GB2312"/>
          <w:sz w:val="32"/>
          <w:szCs w:val="32"/>
        </w:rPr>
        <w:t>安全监管</w:t>
      </w:r>
      <w:r>
        <w:rPr>
          <w:rFonts w:hint="eastAsia" w:eastAsia="仿宋_GB2312"/>
          <w:sz w:val="32"/>
          <w:szCs w:val="32"/>
          <w:lang w:eastAsia="zh-CN"/>
        </w:rPr>
        <w:t>提供强有力的支撑</w:t>
      </w:r>
      <w:r>
        <w:rPr>
          <w:rFonts w:hint="eastAsia" w:ascii="仿宋_GB2312" w:eastAsia="仿宋_GB2312" w:cs="仿宋_GB2312"/>
          <w:color w:val="222222"/>
          <w:kern w:val="0"/>
          <w:sz w:val="32"/>
          <w:szCs w:val="32"/>
        </w:rPr>
        <w:t>。</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eastAsia="仿宋_GB2312" w:cs="仿宋_GB2312"/>
          <w:color w:val="222222"/>
          <w:kern w:val="0"/>
          <w:sz w:val="32"/>
          <w:szCs w:val="32"/>
        </w:rPr>
        <w:t>药品安全监管继续优化。做好药品流通环节监管工作，</w:t>
      </w:r>
      <w:r>
        <w:rPr>
          <w:rFonts w:hint="eastAsia" w:ascii="仿宋_GB2312" w:cs="仿宋_GB2312"/>
          <w:color w:val="222222"/>
          <w:kern w:val="0"/>
          <w:sz w:val="32"/>
          <w:szCs w:val="32"/>
          <w:lang w:eastAsia="zh-CN"/>
        </w:rPr>
        <w:t>药品、化妆品市场检查覆盖率</w:t>
      </w:r>
      <w:r>
        <w:rPr>
          <w:rFonts w:hint="eastAsia" w:ascii="仿宋_GB2312" w:cs="仿宋_GB2312"/>
          <w:color w:val="222222"/>
          <w:kern w:val="0"/>
          <w:sz w:val="32"/>
          <w:szCs w:val="32"/>
          <w:lang w:val="en-US" w:eastAsia="zh-CN"/>
        </w:rPr>
        <w:t>100%，</w:t>
      </w:r>
      <w:r>
        <w:rPr>
          <w:rFonts w:hint="eastAsia" w:ascii="仿宋_GB2312" w:eastAsia="仿宋_GB2312" w:cs="仿宋_GB2312"/>
          <w:color w:val="222222"/>
          <w:kern w:val="0"/>
          <w:sz w:val="32"/>
          <w:szCs w:val="32"/>
        </w:rPr>
        <w:t>共检查药品经营使用单位共计10</w:t>
      </w:r>
      <w:r>
        <w:rPr>
          <w:rFonts w:hint="eastAsia" w:ascii="仿宋_GB2312" w:eastAsia="仿宋_GB2312" w:cs="仿宋_GB2312"/>
          <w:color w:val="222222"/>
          <w:kern w:val="0"/>
          <w:sz w:val="32"/>
          <w:szCs w:val="32"/>
          <w:lang w:val="en-US" w:eastAsia="zh-CN"/>
        </w:rPr>
        <w:t>3</w:t>
      </w:r>
      <w:r>
        <w:rPr>
          <w:rFonts w:hint="eastAsia" w:ascii="仿宋_GB2312" w:eastAsia="仿宋_GB2312" w:cs="仿宋_GB2312"/>
          <w:color w:val="222222"/>
          <w:kern w:val="0"/>
          <w:sz w:val="32"/>
          <w:szCs w:val="32"/>
        </w:rPr>
        <w:t>9家次，责令整改共计108家；认真落实好国家药品不良反应监测及“四类药品”零售情况监测等</w:t>
      </w:r>
      <w:r>
        <w:rPr>
          <w:rFonts w:hint="eastAsia" w:ascii="仿宋_GB2312" w:eastAsia="仿宋_GB2312" w:cs="仿宋_GB2312"/>
          <w:color w:val="222222"/>
          <w:kern w:val="0"/>
          <w:sz w:val="32"/>
          <w:szCs w:val="32"/>
          <w:highlight w:val="none"/>
        </w:rPr>
        <w:t>工作，全年共完成药品不良反应监测任务</w:t>
      </w:r>
      <w:r>
        <w:rPr>
          <w:rFonts w:hint="eastAsia" w:ascii="仿宋_GB2312" w:eastAsia="仿宋_GB2312" w:cs="仿宋_GB2312"/>
          <w:color w:val="222222"/>
          <w:kern w:val="0"/>
          <w:sz w:val="32"/>
          <w:szCs w:val="32"/>
          <w:highlight w:val="none"/>
          <w:lang w:val="en-US" w:eastAsia="zh-CN"/>
        </w:rPr>
        <w:t>690</w:t>
      </w:r>
      <w:r>
        <w:rPr>
          <w:rFonts w:hint="eastAsia" w:ascii="仿宋_GB2312" w:eastAsia="仿宋_GB2312" w:cs="仿宋_GB2312"/>
          <w:color w:val="222222"/>
          <w:kern w:val="0"/>
          <w:sz w:val="32"/>
          <w:szCs w:val="32"/>
          <w:highlight w:val="none"/>
        </w:rPr>
        <w:t>份，器械不良事件</w:t>
      </w:r>
      <w:r>
        <w:rPr>
          <w:rFonts w:hint="eastAsia" w:ascii="仿宋_GB2312" w:eastAsia="仿宋_GB2312" w:cs="仿宋_GB2312"/>
          <w:color w:val="222222"/>
          <w:kern w:val="0"/>
          <w:sz w:val="32"/>
          <w:szCs w:val="32"/>
          <w:highlight w:val="none"/>
          <w:lang w:val="en-US" w:eastAsia="zh-CN"/>
        </w:rPr>
        <w:t>200</w:t>
      </w:r>
      <w:r>
        <w:rPr>
          <w:rFonts w:hint="eastAsia" w:ascii="仿宋_GB2312" w:eastAsia="仿宋_GB2312" w:cs="仿宋_GB2312"/>
          <w:color w:val="222222"/>
          <w:kern w:val="0"/>
          <w:sz w:val="32"/>
          <w:szCs w:val="32"/>
          <w:highlight w:val="none"/>
        </w:rPr>
        <w:t>份。</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eastAsia="仿宋_GB2312" w:cs="仿宋_GB2312"/>
          <w:color w:val="222222"/>
          <w:kern w:val="0"/>
          <w:sz w:val="32"/>
          <w:szCs w:val="32"/>
        </w:rPr>
        <w:t>特种设备安全监管持续加强。全面开展特种设备安全隐患排查整治，检查锅炉、压力容器、电梯、起重机械2000台</w:t>
      </w:r>
      <w:r>
        <w:rPr>
          <w:rFonts w:hint="eastAsia" w:ascii="仿宋_GB2312" w:cs="仿宋_GB2312"/>
          <w:color w:val="222222"/>
          <w:kern w:val="0"/>
          <w:sz w:val="32"/>
          <w:szCs w:val="32"/>
          <w:lang w:eastAsia="zh-CN"/>
        </w:rPr>
        <w:t>，检查压力管道1500米，按计划20%抽检液化气瓶、氧气、乙炔气瓶共</w:t>
      </w:r>
      <w:r>
        <w:rPr>
          <w:rFonts w:hint="eastAsia" w:ascii="仿宋_GB2312" w:cs="仿宋_GB2312"/>
          <w:color w:val="222222"/>
          <w:kern w:val="0"/>
          <w:sz w:val="32"/>
          <w:szCs w:val="32"/>
          <w:lang w:val="en-US" w:eastAsia="zh-CN"/>
        </w:rPr>
        <w:t>20000</w:t>
      </w:r>
      <w:r>
        <w:rPr>
          <w:rFonts w:hint="eastAsia" w:ascii="仿宋_GB2312" w:cs="仿宋_GB2312"/>
          <w:color w:val="222222"/>
          <w:kern w:val="0"/>
          <w:sz w:val="32"/>
          <w:szCs w:val="32"/>
          <w:lang w:eastAsia="zh-CN"/>
        </w:rPr>
        <w:t>只，</w:t>
      </w:r>
      <w:r>
        <w:rPr>
          <w:rFonts w:hint="eastAsia" w:ascii="仿宋_GB2312" w:eastAsia="仿宋_GB2312" w:cs="仿宋_GB2312"/>
          <w:color w:val="222222"/>
          <w:kern w:val="0"/>
          <w:sz w:val="32"/>
          <w:szCs w:val="32"/>
        </w:rPr>
        <w:t>检查特种设备使用单位</w:t>
      </w:r>
      <w:r>
        <w:rPr>
          <w:rFonts w:hint="eastAsia" w:ascii="仿宋_GB2312" w:eastAsia="仿宋_GB2312" w:cs="仿宋_GB2312"/>
          <w:color w:val="222222"/>
          <w:kern w:val="0"/>
          <w:sz w:val="32"/>
          <w:szCs w:val="32"/>
          <w:lang w:val="en-US" w:eastAsia="zh-CN"/>
        </w:rPr>
        <w:t>1</w:t>
      </w:r>
      <w:r>
        <w:rPr>
          <w:rFonts w:hint="eastAsia" w:ascii="仿宋_GB2312" w:cs="仿宋_GB2312"/>
          <w:color w:val="222222"/>
          <w:kern w:val="0"/>
          <w:sz w:val="32"/>
          <w:szCs w:val="32"/>
          <w:lang w:val="en-US" w:eastAsia="zh-CN"/>
        </w:rPr>
        <w:t>14</w:t>
      </w:r>
      <w:r>
        <w:rPr>
          <w:rFonts w:hint="eastAsia" w:ascii="仿宋_GB2312" w:eastAsia="仿宋_GB2312" w:cs="仿宋_GB2312"/>
          <w:color w:val="222222"/>
          <w:kern w:val="0"/>
          <w:sz w:val="32"/>
          <w:szCs w:val="32"/>
        </w:rPr>
        <w:t>家，与特种设备使用单位签订《安全责任承诺书》114份</w:t>
      </w:r>
      <w:r>
        <w:rPr>
          <w:rFonts w:hint="eastAsia" w:ascii="仿宋_GB2312" w:cs="仿宋_GB2312"/>
          <w:color w:val="222222"/>
          <w:kern w:val="0"/>
          <w:sz w:val="32"/>
          <w:szCs w:val="32"/>
          <w:lang w:eastAsia="zh-CN"/>
        </w:rPr>
        <w:t>，特种设备监督检查覆盖率达</w:t>
      </w:r>
      <w:r>
        <w:rPr>
          <w:rFonts w:hint="eastAsia" w:ascii="仿宋_GB2312" w:cs="仿宋_GB2312"/>
          <w:color w:val="222222"/>
          <w:kern w:val="0"/>
          <w:sz w:val="32"/>
          <w:szCs w:val="32"/>
          <w:lang w:val="en-US" w:eastAsia="zh-CN"/>
        </w:rPr>
        <w:t>100%，监管情况及时上报率100%。</w:t>
      </w:r>
      <w:r>
        <w:rPr>
          <w:rFonts w:hint="eastAsia" w:ascii="仿宋_GB2312" w:eastAsia="仿宋_GB2312" w:cs="仿宋_GB2312"/>
          <w:color w:val="222222"/>
          <w:kern w:val="0"/>
          <w:sz w:val="32"/>
          <w:szCs w:val="32"/>
        </w:rPr>
        <w:t>发现重大安全隐患</w:t>
      </w:r>
      <w:r>
        <w:rPr>
          <w:rFonts w:hint="eastAsia" w:ascii="仿宋_GB2312" w:eastAsia="仿宋_GB2312" w:cs="仿宋_GB2312"/>
          <w:color w:val="222222"/>
          <w:kern w:val="0"/>
          <w:sz w:val="32"/>
          <w:szCs w:val="32"/>
          <w:lang w:val="en-US" w:eastAsia="zh-CN"/>
        </w:rPr>
        <w:t>5</w:t>
      </w:r>
      <w:r>
        <w:rPr>
          <w:rFonts w:hint="eastAsia" w:ascii="仿宋_GB2312" w:eastAsia="仿宋_GB2312" w:cs="仿宋_GB2312"/>
          <w:color w:val="222222"/>
          <w:kern w:val="0"/>
          <w:sz w:val="32"/>
          <w:szCs w:val="32"/>
        </w:rPr>
        <w:t>起，已全部整改销号</w:t>
      </w:r>
      <w:r>
        <w:rPr>
          <w:rFonts w:hint="eastAsia" w:ascii="仿宋_GB2312" w:cs="仿宋_GB2312"/>
          <w:color w:val="222222"/>
          <w:kern w:val="0"/>
          <w:sz w:val="32"/>
          <w:szCs w:val="32"/>
          <w:lang w:eastAsia="zh-CN"/>
        </w:rPr>
        <w:t>，隐患整改率达</w:t>
      </w:r>
      <w:r>
        <w:rPr>
          <w:rFonts w:hint="eastAsia" w:ascii="仿宋_GB2312" w:cs="仿宋_GB2312"/>
          <w:color w:val="222222"/>
          <w:kern w:val="0"/>
          <w:sz w:val="32"/>
          <w:szCs w:val="32"/>
          <w:lang w:val="en-US" w:eastAsia="zh-CN"/>
        </w:rPr>
        <w:t>100%</w:t>
      </w:r>
      <w:r>
        <w:rPr>
          <w:rFonts w:hint="eastAsia" w:ascii="仿宋_GB2312" w:eastAsia="仿宋_GB2312" w:cs="仿宋_GB2312"/>
          <w:color w:val="222222"/>
          <w:kern w:val="0"/>
          <w:sz w:val="32"/>
          <w:szCs w:val="32"/>
        </w:rPr>
        <w:t>。实现了全年特种设备安全“零事故”。</w:t>
      </w:r>
      <w:r>
        <w:rPr>
          <w:rFonts w:hint="eastAsia" w:ascii="仿宋_GB2312" w:cs="仿宋_GB2312"/>
          <w:color w:val="222222"/>
          <w:kern w:val="0"/>
          <w:sz w:val="32"/>
          <w:szCs w:val="32"/>
          <w:lang w:eastAsia="zh-CN"/>
        </w:rPr>
        <w:t>开展特种设备专项整治行动</w:t>
      </w:r>
      <w:r>
        <w:rPr>
          <w:rFonts w:hint="eastAsia" w:ascii="仿宋_GB2312" w:cs="仿宋_GB2312"/>
          <w:color w:val="222222"/>
          <w:kern w:val="0"/>
          <w:sz w:val="32"/>
          <w:szCs w:val="32"/>
          <w:lang w:val="en-US" w:eastAsia="zh-CN"/>
        </w:rPr>
        <w:t>4次，发放宣传资料6000份以上。</w:t>
      </w:r>
      <w:r>
        <w:rPr>
          <w:rFonts w:hint="eastAsia" w:ascii="仿宋_GB2312" w:eastAsia="仿宋_GB2312" w:cs="仿宋_GB2312"/>
          <w:color w:val="222222"/>
          <w:kern w:val="0"/>
          <w:sz w:val="32"/>
          <w:szCs w:val="32"/>
        </w:rPr>
        <w:t>办理各类特种设备使用违法案件16起，实施查封等行政强制措施</w:t>
      </w:r>
      <w:r>
        <w:rPr>
          <w:rFonts w:hint="eastAsia" w:ascii="仿宋_GB2312" w:eastAsia="仿宋_GB2312" w:cs="仿宋_GB2312"/>
          <w:color w:val="222222"/>
          <w:kern w:val="0"/>
          <w:sz w:val="32"/>
          <w:szCs w:val="32"/>
          <w:lang w:val="en-US" w:eastAsia="zh-CN"/>
        </w:rPr>
        <w:t>3</w:t>
      </w:r>
      <w:r>
        <w:rPr>
          <w:rFonts w:hint="eastAsia" w:ascii="仿宋_GB2312" w:eastAsia="仿宋_GB2312" w:cs="仿宋_GB2312"/>
          <w:color w:val="222222"/>
          <w:kern w:val="0"/>
          <w:sz w:val="32"/>
          <w:szCs w:val="32"/>
        </w:rPr>
        <w:t>起</w:t>
      </w:r>
      <w:r>
        <w:rPr>
          <w:rFonts w:hint="eastAsia" w:ascii="仿宋_GB2312" w:cs="仿宋_GB2312"/>
          <w:color w:val="222222"/>
          <w:kern w:val="0"/>
          <w:sz w:val="32"/>
          <w:szCs w:val="32"/>
          <w:lang w:eastAsia="zh-CN"/>
        </w:rPr>
        <w:t>，特种设备安全监管能力和水平持续提升，社会公众满意度达</w:t>
      </w:r>
      <w:r>
        <w:rPr>
          <w:rFonts w:hint="eastAsia" w:ascii="仿宋_GB2312" w:cs="仿宋_GB2312"/>
          <w:color w:val="222222"/>
          <w:kern w:val="0"/>
          <w:sz w:val="32"/>
          <w:szCs w:val="32"/>
          <w:lang w:val="en-US" w:eastAsia="zh-CN"/>
        </w:rPr>
        <w:t>90%以上</w:t>
      </w:r>
      <w:r>
        <w:rPr>
          <w:rFonts w:hint="eastAsia" w:ascii="仿宋_GB2312" w:eastAsia="仿宋_GB2312" w:cs="仿宋_GB2312"/>
          <w:color w:val="222222"/>
          <w:kern w:val="0"/>
          <w:sz w:val="32"/>
          <w:szCs w:val="32"/>
        </w:rPr>
        <w:t>。</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highlight w:val="none"/>
        </w:rPr>
      </w:pPr>
      <w:r>
        <w:rPr>
          <w:rFonts w:hint="eastAsia" w:ascii="仿宋_GB2312" w:eastAsia="仿宋_GB2312" w:cs="仿宋_GB2312"/>
          <w:color w:val="222222"/>
          <w:kern w:val="0"/>
          <w:sz w:val="32"/>
          <w:szCs w:val="32"/>
          <w:highlight w:val="none"/>
        </w:rPr>
        <w:t>稳步推进产品质量安全监管。开展重点工业产品质量安全排查治理专项行动，重点关注钢筋、水泥、电线电缆、烟花爆竹等领域的产品质量问题，共出动执法人员230人次。开展“护农”行动，对辖区内的农资生产、销售企业进行摸排，共出动执法人次80人次，检查经营户50余家，抽检肥料28批次，开展塑料污染治理相关工作，共检查集贸市场45个次，检查商场、超市176个次，检查各类经营户165户次；开展电线电缆质量专项整治行动，共出动执法人次85人次，检查经营户52余家。开展食品相关产品专项整治行动，对辖区内2家食品相关产品生产企业进行检查。对5家工业产品获证企业开展“双随机、一公开”监管。加大产品抽检力度，全面完成产品质量抽检160批次。</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cs="仿宋_GB2312"/>
          <w:color w:val="222222"/>
          <w:kern w:val="0"/>
          <w:sz w:val="32"/>
          <w:szCs w:val="32"/>
          <w:lang w:val="en-US" w:eastAsia="zh-CN"/>
        </w:rPr>
        <w:t>3.</w:t>
      </w:r>
      <w:r>
        <w:rPr>
          <w:rFonts w:hint="eastAsia" w:ascii="仿宋_GB2312" w:eastAsia="仿宋_GB2312" w:cs="仿宋_GB2312"/>
          <w:color w:val="222222"/>
          <w:kern w:val="0"/>
          <w:sz w:val="32"/>
          <w:szCs w:val="32"/>
        </w:rPr>
        <w:t>坚持执法从严，在监管体制完善中全面规范市场秩序</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highlight w:val="none"/>
        </w:rPr>
      </w:pPr>
      <w:r>
        <w:rPr>
          <w:rFonts w:hint="eastAsia" w:ascii="仿宋_GB2312" w:eastAsia="仿宋_GB2312" w:cs="仿宋_GB2312"/>
          <w:color w:val="222222"/>
          <w:kern w:val="0"/>
          <w:sz w:val="32"/>
          <w:szCs w:val="32"/>
          <w:highlight w:val="none"/>
        </w:rPr>
        <w:t>我局加大涉及食品药品安全、产品质量、价格违法、特种设备等关系群众切身利益重点领域执法，2022年，我局办理行政处罚一般程序案件共329件，罚没共计1200余万元。其中，食品案件共81件，罚没共计123.78万元;药品类案件共52件，罚没共计81.6万元;广告类案件共16件，罚没共计62.9万元;商标类案件共3件，罚没共计12万元;产品质量类案件共25件，罚没44.87万元;计量类案件共6件，罚没共计30.29万元;价格类案件共55件，罚没共计231.86 万元;其他案件共91件，罚没共计612.67万元。2022年，我局行政复议案件共8件，其中，1件已审结，7件未审结，复议结果为维持;行政诉讼案件共1件，已审结，诉讼结果为驳回原告诉讼请求。</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eastAsia="仿宋_GB2312" w:cs="仿宋_GB2312"/>
          <w:color w:val="222222"/>
          <w:kern w:val="0"/>
          <w:sz w:val="32"/>
          <w:szCs w:val="32"/>
        </w:rPr>
        <w:t>消费维权工作效能逐步提升。紧扣消费维权年主题，创新做好消费维权工作，开展“3·15”系列活动，切实维护消费者合法权益；全年12315平台共接到投诉举报</w:t>
      </w:r>
      <w:r>
        <w:rPr>
          <w:rFonts w:hint="eastAsia" w:ascii="仿宋_GB2312" w:eastAsia="仿宋_GB2312" w:cs="仿宋_GB2312"/>
          <w:color w:val="222222"/>
          <w:kern w:val="0"/>
          <w:sz w:val="32"/>
          <w:szCs w:val="32"/>
          <w:lang w:val="en-US" w:eastAsia="zh-CN"/>
        </w:rPr>
        <w:t>2560</w:t>
      </w:r>
      <w:r>
        <w:rPr>
          <w:rFonts w:hint="eastAsia" w:ascii="仿宋_GB2312" w:eastAsia="仿宋_GB2312" w:cs="仿宋_GB2312"/>
          <w:color w:val="222222"/>
          <w:kern w:val="0"/>
          <w:sz w:val="32"/>
          <w:szCs w:val="32"/>
        </w:rPr>
        <w:t>件，其中投诉</w:t>
      </w:r>
      <w:r>
        <w:rPr>
          <w:rFonts w:hint="eastAsia" w:ascii="仿宋_GB2312" w:eastAsia="仿宋_GB2312" w:cs="仿宋_GB2312"/>
          <w:color w:val="222222"/>
          <w:kern w:val="0"/>
          <w:sz w:val="32"/>
          <w:szCs w:val="32"/>
          <w:lang w:val="en-US" w:eastAsia="zh-CN"/>
        </w:rPr>
        <w:t>2230</w:t>
      </w:r>
      <w:r>
        <w:rPr>
          <w:rFonts w:hint="eastAsia" w:ascii="仿宋_GB2312" w:eastAsia="仿宋_GB2312" w:cs="仿宋_GB2312"/>
          <w:color w:val="222222"/>
          <w:kern w:val="0"/>
          <w:sz w:val="32"/>
          <w:szCs w:val="32"/>
        </w:rPr>
        <w:t>件、举报</w:t>
      </w:r>
      <w:r>
        <w:rPr>
          <w:rFonts w:hint="eastAsia" w:ascii="仿宋_GB2312" w:eastAsia="仿宋_GB2312" w:cs="仿宋_GB2312"/>
          <w:color w:val="222222"/>
          <w:kern w:val="0"/>
          <w:sz w:val="32"/>
          <w:szCs w:val="32"/>
          <w:lang w:val="en-US" w:eastAsia="zh-CN"/>
        </w:rPr>
        <w:t>330</w:t>
      </w:r>
      <w:r>
        <w:rPr>
          <w:rFonts w:hint="eastAsia" w:ascii="仿宋_GB2312" w:eastAsia="仿宋_GB2312" w:cs="仿宋_GB2312"/>
          <w:color w:val="222222"/>
          <w:kern w:val="0"/>
          <w:sz w:val="32"/>
          <w:szCs w:val="32"/>
        </w:rPr>
        <w:t>件，已办结</w:t>
      </w:r>
      <w:r>
        <w:rPr>
          <w:rFonts w:hint="eastAsia" w:ascii="仿宋_GB2312" w:eastAsia="仿宋_GB2312" w:cs="仿宋_GB2312"/>
          <w:color w:val="222222"/>
          <w:kern w:val="0"/>
          <w:sz w:val="32"/>
          <w:szCs w:val="32"/>
          <w:lang w:val="en-US" w:eastAsia="zh-CN"/>
        </w:rPr>
        <w:t>2560</w:t>
      </w:r>
      <w:r>
        <w:rPr>
          <w:rFonts w:hint="eastAsia" w:ascii="仿宋_GB2312" w:eastAsia="仿宋_GB2312" w:cs="仿宋_GB2312"/>
          <w:color w:val="222222"/>
          <w:kern w:val="0"/>
          <w:sz w:val="32"/>
          <w:szCs w:val="32"/>
        </w:rPr>
        <w:t>件，按时按规定办结率100%，调解成功率</w:t>
      </w:r>
      <w:r>
        <w:rPr>
          <w:rFonts w:hint="eastAsia" w:ascii="仿宋_GB2312" w:eastAsia="仿宋_GB2312" w:cs="仿宋_GB2312"/>
          <w:color w:val="222222"/>
          <w:kern w:val="0"/>
          <w:sz w:val="32"/>
          <w:szCs w:val="32"/>
          <w:lang w:val="en-US" w:eastAsia="zh-CN"/>
        </w:rPr>
        <w:t>100</w:t>
      </w:r>
      <w:r>
        <w:rPr>
          <w:rFonts w:hint="eastAsia" w:ascii="仿宋_GB2312" w:eastAsia="仿宋_GB2312" w:cs="仿宋_GB2312"/>
          <w:color w:val="222222"/>
          <w:kern w:val="0"/>
          <w:sz w:val="32"/>
          <w:szCs w:val="32"/>
        </w:rPr>
        <w:t>%，</w:t>
      </w:r>
      <w:r>
        <w:rPr>
          <w:rFonts w:hint="eastAsia" w:ascii="仿宋_GB2312" w:cs="仿宋_GB2312"/>
          <w:color w:val="222222"/>
          <w:kern w:val="0"/>
          <w:sz w:val="32"/>
          <w:szCs w:val="32"/>
          <w:lang w:eastAsia="zh-CN"/>
        </w:rPr>
        <w:t>投诉举报处理率</w:t>
      </w:r>
      <w:r>
        <w:rPr>
          <w:rFonts w:hint="eastAsia" w:ascii="仿宋_GB2312" w:cs="仿宋_GB2312"/>
          <w:color w:val="222222"/>
          <w:kern w:val="0"/>
          <w:sz w:val="32"/>
          <w:szCs w:val="32"/>
          <w:lang w:val="en-US" w:eastAsia="zh-CN"/>
        </w:rPr>
        <w:t>100%，</w:t>
      </w:r>
      <w:r>
        <w:rPr>
          <w:rFonts w:hint="eastAsia" w:ascii="仿宋_GB2312" w:eastAsia="仿宋_GB2312" w:cs="仿宋_GB2312"/>
          <w:color w:val="222222"/>
          <w:kern w:val="0"/>
          <w:sz w:val="32"/>
          <w:szCs w:val="32"/>
        </w:rPr>
        <w:t>为消费者挽回经济损失</w:t>
      </w:r>
      <w:r>
        <w:rPr>
          <w:rFonts w:hint="eastAsia" w:ascii="仿宋_GB2312" w:eastAsia="仿宋_GB2312" w:cs="仿宋_GB2312"/>
          <w:color w:val="222222"/>
          <w:kern w:val="0"/>
          <w:sz w:val="32"/>
          <w:szCs w:val="32"/>
          <w:lang w:val="en-US" w:eastAsia="zh-CN"/>
        </w:rPr>
        <w:t>11.58</w:t>
      </w:r>
      <w:r>
        <w:rPr>
          <w:rFonts w:hint="eastAsia" w:ascii="仿宋_GB2312" w:eastAsia="仿宋_GB2312" w:cs="仿宋_GB2312"/>
          <w:color w:val="222222"/>
          <w:kern w:val="0"/>
          <w:sz w:val="32"/>
          <w:szCs w:val="32"/>
        </w:rPr>
        <w:t>万元，无超期案件。</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cs="仿宋_GB2312"/>
          <w:color w:val="222222"/>
          <w:kern w:val="0"/>
          <w:sz w:val="32"/>
          <w:szCs w:val="32"/>
          <w:lang w:val="en-US" w:eastAsia="zh-CN"/>
        </w:rPr>
        <w:t>4.</w:t>
      </w:r>
      <w:r>
        <w:rPr>
          <w:rFonts w:hint="eastAsia" w:ascii="仿宋_GB2312" w:eastAsia="仿宋_GB2312" w:cs="仿宋_GB2312"/>
          <w:color w:val="222222"/>
          <w:kern w:val="0"/>
          <w:sz w:val="32"/>
          <w:szCs w:val="32"/>
        </w:rPr>
        <w:t>坚持党建引领，在忠诚履职履责中淬炼市场监管队伍</w:t>
      </w:r>
    </w:p>
    <w:p>
      <w:pPr>
        <w:keepNext w:val="0"/>
        <w:keepLines w:val="0"/>
        <w:pageBreakBefore w:val="0"/>
        <w:widowControl/>
        <w:kinsoku/>
        <w:wordWrap/>
        <w:overflowPunct/>
        <w:topLinePunct w:val="0"/>
        <w:bidi w:val="0"/>
        <w:snapToGrid/>
        <w:spacing w:line="600" w:lineRule="exact"/>
        <w:ind w:firstLine="640" w:firstLineChars="200"/>
        <w:rPr>
          <w:rFonts w:hint="eastAsia" w:ascii="仿宋_GB2312" w:eastAsia="仿宋_GB2312" w:cs="仿宋_GB2312"/>
          <w:color w:val="222222"/>
          <w:kern w:val="0"/>
          <w:sz w:val="32"/>
          <w:szCs w:val="32"/>
        </w:rPr>
      </w:pPr>
      <w:r>
        <w:rPr>
          <w:rFonts w:hint="eastAsia" w:ascii="仿宋_GB2312" w:eastAsia="仿宋_GB2312" w:cs="仿宋_GB2312"/>
          <w:color w:val="222222"/>
          <w:kern w:val="0"/>
          <w:sz w:val="32"/>
          <w:szCs w:val="32"/>
        </w:rPr>
        <w:t>突出政治引领，狠抓党建工作。坚持做到定期议党建，建立领导班子基层党建工作联系点，明确责任定任务，严格落实“三会一课”、民主生活会、组织生活会、述职评议等党内基本制度。加强支部党建阵地建设，将相关制度一律上墙，规范了党建工作各项制度。同时做到严格程序积极发展党员，严把党员“入口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cs="仿宋_GB2312"/>
          <w:color w:val="222222"/>
          <w:kern w:val="0"/>
          <w:sz w:val="32"/>
          <w:szCs w:val="32"/>
          <w:highlight w:val="none"/>
        </w:rPr>
      </w:pPr>
      <w:r>
        <w:rPr>
          <w:rFonts w:hint="eastAsia" w:ascii="仿宋_GB2312" w:eastAsia="仿宋_GB2312" w:cs="仿宋_GB2312"/>
          <w:color w:val="222222"/>
          <w:kern w:val="0"/>
          <w:sz w:val="32"/>
          <w:szCs w:val="32"/>
          <w:highlight w:val="none"/>
        </w:rPr>
        <w:t>突出思想贯彻，狠抓理论武装。全年来党组中心组共开展集中学习12次，组织干部职工进行集中学习6次，各联点领导班子深入支部上党课1次。通过主题党日、微宣讲等活动形式贯彻落实，不断筑牢干部职工思想根基。</w:t>
      </w:r>
    </w:p>
    <w:p>
      <w:pPr>
        <w:keepNext w:val="0"/>
        <w:keepLines w:val="0"/>
        <w:pageBreakBefore w:val="0"/>
        <w:widowControl/>
        <w:kinsoku/>
        <w:wordWrap/>
        <w:overflowPunct/>
        <w:topLinePunct w:val="0"/>
        <w:bidi w:val="0"/>
        <w:snapToGrid/>
        <w:spacing w:line="600" w:lineRule="exact"/>
        <w:ind w:firstLine="640" w:firstLineChars="200"/>
        <w:jc w:val="left"/>
        <w:rPr>
          <w:rFonts w:eastAsia="黑体"/>
          <w:sz w:val="32"/>
          <w:szCs w:val="32"/>
        </w:rPr>
      </w:pPr>
      <w:r>
        <w:rPr>
          <w:rFonts w:hint="eastAsia" w:eastAsia="黑体" w:cs="黑体"/>
          <w:sz w:val="32"/>
          <w:szCs w:val="32"/>
        </w:rPr>
        <w:t>七、存在的问题及原因分析</w:t>
      </w:r>
    </w:p>
    <w:p>
      <w:pPr>
        <w:keepNext w:val="0"/>
        <w:keepLines w:val="0"/>
        <w:pageBreakBefore w:val="0"/>
        <w:widowControl/>
        <w:kinsoku/>
        <w:wordWrap/>
        <w:overflowPunct/>
        <w:topLinePunct w:val="0"/>
        <w:bidi w:val="0"/>
        <w:snapToGrid/>
        <w:spacing w:line="600" w:lineRule="exact"/>
        <w:ind w:firstLine="640" w:firstLineChars="200"/>
        <w:rPr>
          <w:rFonts w:eastAsia="楷体_GB2312"/>
          <w:sz w:val="32"/>
          <w:szCs w:val="32"/>
        </w:rPr>
      </w:pPr>
      <w:r>
        <w:rPr>
          <w:rFonts w:hint="eastAsia" w:eastAsia="楷体_GB2312" w:cs="楷体_GB2312"/>
          <w:sz w:val="32"/>
          <w:szCs w:val="32"/>
        </w:rPr>
        <w:t>（一）存在的问题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105" w:beforeAutospacing="0" w:after="105" w:afterAutospacing="0" w:line="60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cs="仿宋_GB2312"/>
          <w:color w:val="000000"/>
          <w:kern w:val="0"/>
          <w:sz w:val="32"/>
          <w:szCs w:val="32"/>
          <w:lang w:val="en-US" w:eastAsia="zh-CN"/>
        </w:rPr>
        <w:t>1.</w:t>
      </w:r>
      <w:r>
        <w:rPr>
          <w:rFonts w:hint="eastAsia" w:ascii="仿宋_GB2312" w:eastAsia="仿宋_GB2312" w:cs="仿宋_GB2312"/>
          <w:color w:val="000000"/>
          <w:kern w:val="0"/>
          <w:sz w:val="32"/>
          <w:szCs w:val="32"/>
        </w:rPr>
        <w:t>专项资金管理办法有待进一步完善健全</w:t>
      </w:r>
      <w:r>
        <w:rPr>
          <w:rFonts w:hint="eastAsia" w:ascii="仿宋_GB2312" w:cs="仿宋_GB2312"/>
          <w:color w:val="000000"/>
          <w:kern w:val="0"/>
          <w:sz w:val="32"/>
          <w:szCs w:val="32"/>
          <w:lang w:eastAsia="zh-CN"/>
        </w:rPr>
        <w:t>，现仍存在部分业务股室对绩效目标设置不够精准，预算执行进度不够理想的问题</w:t>
      </w:r>
      <w:r>
        <w:rPr>
          <w:rFonts w:hint="eastAsia" w:ascii="仿宋_GB2312" w:eastAsia="仿宋_GB2312" w:cs="仿宋_GB2312"/>
          <w:color w:val="000000"/>
          <w:kern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105" w:beforeAutospacing="0" w:after="105" w:afterAutospacing="0" w:line="600" w:lineRule="exact"/>
        <w:ind w:left="0" w:right="0" w:firstLine="640" w:firstLineChars="200"/>
        <w:jc w:val="left"/>
        <w:rPr>
          <w:rFonts w:hint="eastAsia" w:ascii="仿宋_GB2312" w:eastAsia="仿宋_GB2312" w:cs="仿宋_GB2312"/>
          <w:color w:val="000000"/>
          <w:kern w:val="0"/>
          <w:sz w:val="32"/>
          <w:szCs w:val="32"/>
        </w:rPr>
      </w:pPr>
      <w:r>
        <w:rPr>
          <w:rFonts w:hint="eastAsia" w:ascii="仿宋_GB2312" w:cs="仿宋_GB2312"/>
          <w:color w:val="000000"/>
          <w:kern w:val="0"/>
          <w:sz w:val="32"/>
          <w:szCs w:val="32"/>
          <w:lang w:val="en-US" w:eastAsia="zh-CN"/>
        </w:rPr>
        <w:t>2.</w:t>
      </w:r>
      <w:r>
        <w:rPr>
          <w:rFonts w:hint="eastAsia" w:ascii="仿宋_GB2312" w:eastAsia="仿宋_GB2312" w:cs="仿宋_GB2312"/>
          <w:color w:val="000000"/>
          <w:kern w:val="0"/>
          <w:sz w:val="32"/>
          <w:szCs w:val="32"/>
        </w:rPr>
        <w:t>节约意识有待进一步提升</w:t>
      </w:r>
      <w:r>
        <w:rPr>
          <w:rFonts w:hint="eastAsia" w:ascii="仿宋_GB2312" w:cs="仿宋_GB2312"/>
          <w:color w:val="000000"/>
          <w:kern w:val="0"/>
          <w:sz w:val="32"/>
          <w:szCs w:val="32"/>
          <w:lang w:eastAsia="zh-CN"/>
        </w:rPr>
        <w:t>，全年支出与预算有较大出入，决算数远大于预算数，未能严格控制支出</w:t>
      </w:r>
      <w:r>
        <w:rPr>
          <w:rFonts w:hint="eastAsia" w:ascii="仿宋_GB2312" w:eastAsia="仿宋_GB2312" w:cs="仿宋_GB2312"/>
          <w:color w:val="000000"/>
          <w:kern w:val="0"/>
          <w:sz w:val="32"/>
          <w:szCs w:val="32"/>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05" w:beforeAutospacing="0" w:after="105" w:afterAutospacing="0" w:line="600" w:lineRule="exact"/>
        <w:ind w:left="0" w:right="0" w:firstLine="600" w:firstLineChars="200"/>
        <w:jc w:val="left"/>
        <w:textAlignment w:val="auto"/>
        <w:rPr>
          <w:rFonts w:hint="default" w:ascii="仿宋_GB2312" w:eastAsia="仿宋_GB2312" w:cs="仿宋_GB2312"/>
          <w:color w:val="000000"/>
          <w:kern w:val="0"/>
          <w:sz w:val="32"/>
          <w:szCs w:val="32"/>
          <w:lang w:val="en-US" w:eastAsia="zh-CN" w:bidi="ar-SA"/>
        </w:rPr>
      </w:pPr>
      <w:r>
        <w:rPr>
          <w:rFonts w:hint="eastAsia"/>
          <w:sz w:val="30"/>
          <w:szCs w:val="30"/>
          <w:lang w:val="en-US" w:eastAsia="zh-CN"/>
        </w:rPr>
        <w:t>3.</w:t>
      </w:r>
      <w:r>
        <w:rPr>
          <w:rFonts w:hint="eastAsia" w:cs="仿宋_GB2312"/>
          <w:sz w:val="30"/>
          <w:szCs w:val="30"/>
        </w:rPr>
        <w:t>绩效目标欠完整。</w:t>
      </w:r>
      <w:r>
        <w:rPr>
          <w:rFonts w:hint="eastAsia" w:ascii="仿宋_GB2312" w:hAnsi="Calibri" w:eastAsia="仿宋_GB2312" w:cs="仿宋_GB2312"/>
          <w:color w:val="000000"/>
          <w:kern w:val="0"/>
          <w:sz w:val="32"/>
          <w:szCs w:val="32"/>
          <w:lang w:val="en-US" w:eastAsia="zh-CN" w:bidi="ar-SA"/>
        </w:rPr>
        <w:t>部分预算绩效目标执行有偏差</w:t>
      </w:r>
      <w:r>
        <w:rPr>
          <w:rFonts w:hint="eastAsia" w:ascii="仿宋_GB2312" w:hAnsi="Calibri" w:cs="仿宋_GB2312"/>
          <w:color w:val="000000"/>
          <w:kern w:val="0"/>
          <w:sz w:val="32"/>
          <w:szCs w:val="32"/>
          <w:lang w:val="en-US" w:eastAsia="zh-CN" w:bidi="ar-SA"/>
        </w:rPr>
        <w:t>,</w:t>
      </w:r>
      <w:r>
        <w:rPr>
          <w:rFonts w:hint="eastAsia" w:ascii="仿宋_GB2312" w:eastAsia="仿宋_GB2312" w:cs="仿宋_GB2312"/>
          <w:color w:val="000000"/>
          <w:kern w:val="0"/>
          <w:sz w:val="32"/>
          <w:szCs w:val="32"/>
          <w:lang w:val="en-US" w:eastAsia="zh-CN" w:bidi="ar-SA"/>
        </w:rPr>
        <w:t>助力企业融资和出质股权数本年</w:t>
      </w:r>
      <w:r>
        <w:rPr>
          <w:rFonts w:hint="eastAsia" w:ascii="仿宋_GB2312" w:cs="仿宋_GB2312"/>
          <w:color w:val="000000"/>
          <w:kern w:val="0"/>
          <w:sz w:val="32"/>
          <w:szCs w:val="32"/>
          <w:lang w:val="en-US" w:eastAsia="zh-CN" w:bidi="ar-SA"/>
        </w:rPr>
        <w:t>完成数</w:t>
      </w:r>
      <w:r>
        <w:rPr>
          <w:rFonts w:hint="eastAsia" w:ascii="仿宋_GB2312" w:eastAsia="仿宋_GB2312" w:cs="仿宋_GB2312"/>
          <w:color w:val="000000"/>
          <w:kern w:val="0"/>
          <w:sz w:val="32"/>
          <w:szCs w:val="32"/>
          <w:lang w:val="en-US" w:eastAsia="zh-CN" w:bidi="ar-SA"/>
        </w:rPr>
        <w:t>均为0</w:t>
      </w:r>
      <w:r>
        <w:rPr>
          <w:rFonts w:hint="eastAsia" w:ascii="仿宋_GB2312" w:cs="仿宋_GB2312"/>
          <w:color w:val="000000"/>
          <w:kern w:val="0"/>
          <w:sz w:val="32"/>
          <w:szCs w:val="32"/>
          <w:lang w:val="en-US" w:eastAsia="zh-CN" w:bidi="ar-SA"/>
        </w:rPr>
        <w:t>，影响了整体预算绩效自评</w:t>
      </w:r>
      <w:r>
        <w:rPr>
          <w:rFonts w:hint="eastAsia" w:ascii="仿宋_GB2312" w:eastAsia="仿宋_GB2312" w:cs="仿宋_GB2312"/>
          <w:color w:val="000000"/>
          <w:kern w:val="0"/>
          <w:sz w:val="32"/>
          <w:szCs w:val="32"/>
          <w:lang w:val="en-US" w:eastAsia="zh-CN" w:bidi="ar-SA"/>
        </w:rPr>
        <w:t>。</w:t>
      </w:r>
    </w:p>
    <w:p>
      <w:pPr>
        <w:pStyle w:val="10"/>
        <w:keepNext w:val="0"/>
        <w:keepLines w:val="0"/>
        <w:pageBreakBefore w:val="0"/>
        <w:numPr>
          <w:ilvl w:val="0"/>
          <w:numId w:val="2"/>
        </w:numPr>
        <w:kinsoku/>
        <w:wordWrap/>
        <w:overflowPunct/>
        <w:topLinePunct w:val="0"/>
        <w:bidi w:val="0"/>
        <w:snapToGrid/>
        <w:spacing w:line="600" w:lineRule="exact"/>
        <w:ind w:firstLine="640" w:firstLineChars="200"/>
        <w:rPr>
          <w:rFonts w:eastAsia="楷体_GB2312"/>
        </w:rPr>
      </w:pPr>
      <w:r>
        <w:rPr>
          <w:rFonts w:hint="eastAsia" w:eastAsia="楷体_GB2312" w:cs="楷体_GB2312"/>
        </w:rPr>
        <w:t>原因分析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hint="eastAsia" w:cs="仿宋_GB2312"/>
          <w:sz w:val="30"/>
          <w:szCs w:val="30"/>
          <w:lang w:eastAsia="zh-CN"/>
        </w:rPr>
      </w:pPr>
      <w:r>
        <w:rPr>
          <w:rFonts w:hint="eastAsia" w:cs="仿宋_GB2312"/>
          <w:sz w:val="30"/>
          <w:szCs w:val="30"/>
          <w:lang w:val="en-US" w:eastAsia="zh-CN"/>
        </w:rPr>
        <w:t>1.</w:t>
      </w:r>
      <w:r>
        <w:rPr>
          <w:rFonts w:hint="eastAsia" w:ascii="仿宋_GB2312" w:hAnsi="Calibri" w:eastAsia="仿宋_GB2312" w:cs="仿宋_GB2312"/>
          <w:color w:val="000000"/>
          <w:kern w:val="0"/>
          <w:sz w:val="32"/>
          <w:szCs w:val="32"/>
          <w:lang w:val="en-US" w:eastAsia="zh-CN" w:bidi="ar-SA"/>
        </w:rPr>
        <w:t>部分预算绩效目标执行有偏差</w:t>
      </w:r>
      <w:r>
        <w:rPr>
          <w:rFonts w:hint="eastAsia" w:ascii="仿宋_GB2312" w:hAnsi="Calibri" w:cs="仿宋_GB2312"/>
          <w:color w:val="000000"/>
          <w:kern w:val="0"/>
          <w:sz w:val="32"/>
          <w:szCs w:val="32"/>
          <w:lang w:val="en-US" w:eastAsia="zh-CN" w:bidi="ar-SA"/>
        </w:rPr>
        <w:t>,</w:t>
      </w:r>
      <w:r>
        <w:rPr>
          <w:rFonts w:hint="eastAsia" w:ascii="仿宋_GB2312" w:eastAsia="仿宋_GB2312" w:cs="仿宋_GB2312"/>
          <w:color w:val="000000"/>
          <w:kern w:val="0"/>
          <w:sz w:val="32"/>
          <w:szCs w:val="32"/>
          <w:lang w:val="en-US" w:eastAsia="zh-CN" w:bidi="ar-SA"/>
        </w:rPr>
        <w:t>助力企业融资和出质股权数本年均为0</w:t>
      </w:r>
      <w:r>
        <w:rPr>
          <w:rFonts w:hint="eastAsia" w:cs="仿宋_GB2312"/>
          <w:sz w:val="30"/>
          <w:szCs w:val="30"/>
        </w:rPr>
        <w:t>的主要原因为</w:t>
      </w:r>
      <w:r>
        <w:rPr>
          <w:rFonts w:hint="eastAsia" w:cs="仿宋_GB2312"/>
          <w:sz w:val="30"/>
          <w:szCs w:val="30"/>
          <w:lang w:eastAsia="zh-CN"/>
        </w:rPr>
        <w:t>相关政策变动及疫情影响。</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00" w:firstLineChars="200"/>
        <w:jc w:val="left"/>
        <w:textAlignment w:val="auto"/>
        <w:rPr>
          <w:rFonts w:eastAsia="仿宋_GB2312"/>
        </w:rPr>
      </w:pPr>
      <w:r>
        <w:rPr>
          <w:rFonts w:hint="eastAsia" w:cs="仿宋_GB2312"/>
          <w:sz w:val="30"/>
          <w:szCs w:val="30"/>
          <w:lang w:val="en-US" w:eastAsia="zh-CN"/>
        </w:rPr>
        <w:t>2.</w:t>
      </w:r>
      <w:r>
        <w:rPr>
          <w:rFonts w:hint="eastAsia" w:cs="仿宋_GB2312"/>
          <w:sz w:val="30"/>
          <w:szCs w:val="30"/>
        </w:rPr>
        <w:t>部分专项资金年度工作计划确定较迟，指标下达时间较晚。</w:t>
      </w:r>
    </w:p>
    <w:p>
      <w:pPr>
        <w:keepNext w:val="0"/>
        <w:keepLines w:val="0"/>
        <w:pageBreakBefore w:val="0"/>
        <w:widowControl/>
        <w:kinsoku/>
        <w:wordWrap/>
        <w:overflowPunct/>
        <w:topLinePunct w:val="0"/>
        <w:bidi w:val="0"/>
        <w:snapToGrid/>
        <w:spacing w:line="600" w:lineRule="exact"/>
        <w:ind w:firstLine="640" w:firstLineChars="200"/>
        <w:jc w:val="left"/>
        <w:rPr>
          <w:rFonts w:eastAsia="黑体"/>
          <w:sz w:val="32"/>
          <w:szCs w:val="32"/>
        </w:rPr>
      </w:pPr>
      <w:r>
        <w:rPr>
          <w:rFonts w:hint="eastAsia" w:eastAsia="黑体" w:cs="黑体"/>
          <w:sz w:val="32"/>
          <w:szCs w:val="32"/>
        </w:rPr>
        <w:t>八、下一步改进措施</w:t>
      </w:r>
    </w:p>
    <w:p>
      <w:pPr>
        <w:keepNext w:val="0"/>
        <w:keepLines w:val="0"/>
        <w:pageBreakBefore w:val="0"/>
        <w:kinsoku/>
        <w:wordWrap/>
        <w:overflowPunct/>
        <w:topLinePunct w:val="0"/>
        <w:bidi w:val="0"/>
        <w:snapToGrid/>
        <w:spacing w:line="600" w:lineRule="exact"/>
        <w:ind w:firstLine="640" w:firstLineChars="200"/>
        <w:rPr>
          <w:rFonts w:hint="eastAsia" w:ascii="仿宋_GB2312" w:eastAsia="仿宋_GB2312" w:cs="仿宋_GB2312"/>
          <w:sz w:val="32"/>
          <w:szCs w:val="32"/>
        </w:rPr>
      </w:pPr>
      <w:r>
        <w:rPr>
          <w:rFonts w:ascii="Times New Roman" w:hAnsi="Times New Roman" w:eastAsia="楷体_GB2312"/>
          <w:sz w:val="32"/>
          <w:szCs w:val="32"/>
        </w:rPr>
        <w:t>（一）</w:t>
      </w:r>
      <w:r>
        <w:rPr>
          <w:rFonts w:hint="eastAsia" w:ascii="仿宋_GB2312" w:eastAsia="仿宋_GB2312" w:cs="仿宋_GB2312"/>
          <w:sz w:val="32"/>
          <w:szCs w:val="32"/>
        </w:rPr>
        <w:t>严格执行财政政策，完善绩效评价指标的准确性和适用性，充分认识部门整体绩效评价及项目绩效评价工作的重要性，</w:t>
      </w:r>
      <w:r>
        <w:rPr>
          <w:rFonts w:hint="eastAsia" w:ascii="仿宋_GB2312" w:cs="仿宋_GB2312"/>
          <w:sz w:val="32"/>
          <w:szCs w:val="32"/>
          <w:lang w:eastAsia="zh-CN"/>
        </w:rPr>
        <w:t>对部门目标任务进行分解，</w:t>
      </w:r>
      <w:r>
        <w:rPr>
          <w:rFonts w:hint="eastAsia" w:ascii="仿宋_GB2312" w:eastAsia="仿宋_GB2312" w:cs="仿宋_GB2312"/>
          <w:sz w:val="32"/>
          <w:szCs w:val="32"/>
        </w:rPr>
        <w:t>根据工作重心做出相应调整，让预算绩效管理渗透到各项资金中，发挥资金使用效益。</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rPr>
          <w:rFonts w:hint="eastAsia" w:ascii="仿宋_GB2312" w:eastAsia="仿宋_GB2312" w:cs="仿宋_GB2312"/>
          <w:color w:val="000000"/>
          <w:kern w:val="0"/>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w:t>
      </w:r>
      <w:r>
        <w:rPr>
          <w:rFonts w:hint="eastAsia" w:ascii="仿宋_GB2312" w:eastAsia="仿宋_GB2312" w:cs="仿宋_GB2312"/>
          <w:color w:val="000000"/>
          <w:kern w:val="0"/>
          <w:sz w:val="32"/>
          <w:szCs w:val="32"/>
        </w:rPr>
        <w:t>今后，我们将坚持问题导向，建立预算支出绩效评价长效机制，认真贯彻落实文件精神，竭力推进预算支出绩效管理工作上新台阶。为更好地加强对项目经费的绩效管理，做到更客观、准确地评价，我局将进一步完善评价指标体系，尽可能的量化、细化，增强评价的可操作性。</w:t>
      </w:r>
      <w:r>
        <w:rPr>
          <w:rFonts w:hint="eastAsia" w:ascii="仿宋_GB2312" w:cs="仿宋_GB2312"/>
          <w:color w:val="000000"/>
          <w:kern w:val="0"/>
          <w:sz w:val="32"/>
          <w:szCs w:val="32"/>
          <w:lang w:eastAsia="zh-CN"/>
        </w:rPr>
        <w:t>由职能部门以专项工作计划等形式明确工作任务、目标要求和责任部门，按阶段总结分析绩效目标完成情况，查找影响绩效的薄弱环节，提出改进意见和建议，并定期反馈和督查。</w:t>
      </w:r>
      <w:r>
        <w:rPr>
          <w:rFonts w:hint="eastAsia" w:ascii="仿宋_GB2312" w:eastAsia="仿宋_GB2312" w:cs="仿宋_GB2312"/>
          <w:color w:val="000000"/>
          <w:kern w:val="0"/>
          <w:sz w:val="32"/>
          <w:szCs w:val="32"/>
        </w:rPr>
        <w:t>优化支出结构，最大限度的将有限资源发挥出最大效益。</w:t>
      </w:r>
    </w:p>
    <w:p>
      <w:pPr>
        <w:pStyle w:val="6"/>
        <w:keepNext w:val="0"/>
        <w:keepLines w:val="0"/>
        <w:pageBreakBefore w:val="0"/>
        <w:kinsoku/>
        <w:wordWrap/>
        <w:overflowPunct/>
        <w:topLinePunct w:val="0"/>
        <w:bidi w:val="0"/>
        <w:snapToGrid/>
        <w:spacing w:after="0" w:line="600" w:lineRule="exact"/>
        <w:ind w:left="0" w:leftChars="0" w:firstLine="640"/>
        <w:rPr>
          <w:rFonts w:hint="eastAsia" w:ascii="仿宋_GB2312" w:eastAsia="仿宋_GB2312" w:cs="仿宋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w:t>
      </w:r>
      <w:r>
        <w:rPr>
          <w:rFonts w:hint="eastAsia" w:ascii="仿宋_GB2312" w:eastAsia="仿宋_GB2312" w:cs="仿宋_GB2312"/>
          <w:sz w:val="32"/>
          <w:szCs w:val="32"/>
        </w:rPr>
        <w:t>加强单位内部机构的预算管理意识，科学规划预算编制的精确度，进一步建立健全各项管理制度，加强内部控制与监督，提高财政资金使用效率。</w:t>
      </w:r>
    </w:p>
    <w:p>
      <w:pPr>
        <w:pStyle w:val="6"/>
        <w:keepNext w:val="0"/>
        <w:keepLines w:val="0"/>
        <w:pageBreakBefore w:val="0"/>
        <w:kinsoku/>
        <w:wordWrap/>
        <w:overflowPunct/>
        <w:topLinePunct w:val="0"/>
        <w:bidi w:val="0"/>
        <w:snapToGrid/>
        <w:spacing w:after="0" w:line="600" w:lineRule="exact"/>
        <w:ind w:left="0" w:leftChars="0" w:firstLine="640"/>
        <w:rPr>
          <w:rFonts w:hint="eastAsia" w:ascii="仿宋_GB2312" w:eastAsia="仿宋_GB2312"/>
          <w:b/>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四</w:t>
      </w:r>
      <w:r>
        <w:rPr>
          <w:rFonts w:ascii="Times New Roman" w:hAnsi="Times New Roman" w:eastAsia="楷体_GB2312"/>
          <w:sz w:val="32"/>
          <w:szCs w:val="32"/>
        </w:rPr>
        <w:t>）</w:t>
      </w:r>
      <w:r>
        <w:rPr>
          <w:rFonts w:hint="eastAsia" w:ascii="仿宋_GB2312" w:eastAsia="仿宋_GB2312" w:cs="仿宋_GB2312"/>
          <w:sz w:val="32"/>
          <w:szCs w:val="32"/>
        </w:rPr>
        <w:t>我局承担了工商行政管理、质量技术监督、食品药品监督管理、知识产权、价格监督检查等方面的执法</w:t>
      </w:r>
      <w:r>
        <w:rPr>
          <w:rFonts w:hint="eastAsia" w:ascii="仿宋_GB2312" w:eastAsia="仿宋_GB2312"/>
          <w:sz w:val="32"/>
          <w:szCs w:val="32"/>
        </w:rPr>
        <w:t>打假工作，食品药品安全，产品质量安全日常监管、知识产权管理、价格监督监管工作。工作量大，任务重，成本高。建议财政增加上述专项经费，便于</w:t>
      </w:r>
      <w:r>
        <w:rPr>
          <w:rFonts w:hint="eastAsia" w:ascii="仿宋_GB2312" w:eastAsia="仿宋_GB2312"/>
          <w:bCs/>
          <w:sz w:val="32"/>
          <w:szCs w:val="32"/>
        </w:rPr>
        <w:t>工作有经费保障，更好地促进县域经济发展。</w:t>
      </w:r>
    </w:p>
    <w:p>
      <w:pPr>
        <w:keepNext w:val="0"/>
        <w:keepLines w:val="0"/>
        <w:pageBreakBefore w:val="0"/>
        <w:widowControl/>
        <w:kinsoku/>
        <w:wordWrap/>
        <w:overflowPunct/>
        <w:topLinePunct w:val="0"/>
        <w:bidi w:val="0"/>
        <w:snapToGrid/>
        <w:spacing w:line="600" w:lineRule="exact"/>
        <w:ind w:firstLine="645"/>
        <w:jc w:val="left"/>
        <w:rPr>
          <w:rFonts w:eastAsia="黑体"/>
          <w:sz w:val="32"/>
          <w:szCs w:val="32"/>
        </w:rPr>
      </w:pPr>
      <w:r>
        <w:rPr>
          <w:rFonts w:hint="eastAsia" w:eastAsia="黑体" w:cs="黑体"/>
          <w:sz w:val="32"/>
          <w:szCs w:val="32"/>
        </w:rPr>
        <w:t>九、部门整体支出绩效自评结果拟应用和公开情况</w:t>
      </w:r>
    </w:p>
    <w:p>
      <w:pPr>
        <w:keepNext w:val="0"/>
        <w:keepLines w:val="0"/>
        <w:pageBreakBefore w:val="0"/>
        <w:kinsoku/>
        <w:wordWrap/>
        <w:overflowPunct/>
        <w:topLinePunct w:val="0"/>
        <w:bidi w:val="0"/>
        <w:snapToGrid/>
        <w:spacing w:line="600" w:lineRule="exact"/>
        <w:ind w:firstLine="640" w:firstLineChars="200"/>
        <w:rPr>
          <w:sz w:val="32"/>
          <w:szCs w:val="32"/>
        </w:rPr>
      </w:pPr>
      <w:r>
        <w:rPr>
          <w:rFonts w:eastAsia="仿宋_GB2312"/>
          <w:sz w:val="32"/>
          <w:szCs w:val="32"/>
        </w:rPr>
        <w:t>202</w:t>
      </w:r>
      <w:r>
        <w:rPr>
          <w:rFonts w:hint="eastAsia"/>
          <w:sz w:val="32"/>
          <w:szCs w:val="32"/>
          <w:lang w:val="en-US" w:eastAsia="zh-CN"/>
        </w:rPr>
        <w:t>2</w:t>
      </w:r>
      <w:r>
        <w:rPr>
          <w:rFonts w:eastAsia="仿宋_GB2312"/>
          <w:sz w:val="32"/>
          <w:szCs w:val="32"/>
        </w:rPr>
        <w:t>年</w:t>
      </w:r>
      <w:r>
        <w:rPr>
          <w:rFonts w:hint="eastAsia" w:eastAsia="仿宋_GB2312"/>
          <w:sz w:val="32"/>
          <w:szCs w:val="32"/>
        </w:rPr>
        <w:t>桃源县市场监督管理局</w:t>
      </w:r>
      <w:r>
        <w:rPr>
          <w:rFonts w:eastAsia="仿宋_GB2312"/>
          <w:sz w:val="32"/>
          <w:szCs w:val="32"/>
        </w:rPr>
        <w:t>整体支出绩效自评9</w:t>
      </w:r>
      <w:r>
        <w:rPr>
          <w:rFonts w:hint="eastAsia"/>
          <w:sz w:val="32"/>
          <w:szCs w:val="32"/>
          <w:lang w:val="en-US" w:eastAsia="zh-CN"/>
        </w:rPr>
        <w:t>7</w:t>
      </w:r>
      <w:r>
        <w:rPr>
          <w:rFonts w:eastAsia="仿宋_GB2312"/>
          <w:sz w:val="32"/>
          <w:szCs w:val="32"/>
        </w:rPr>
        <w:t>分，自评结果将在</w:t>
      </w:r>
      <w:r>
        <w:rPr>
          <w:rFonts w:hint="eastAsia" w:eastAsia="仿宋_GB2312"/>
          <w:sz w:val="32"/>
          <w:szCs w:val="32"/>
        </w:rPr>
        <w:t>制定公开平台</w:t>
      </w:r>
      <w:r>
        <w:rPr>
          <w:rFonts w:eastAsia="仿宋_GB2312"/>
          <w:sz w:val="32"/>
          <w:szCs w:val="32"/>
        </w:rPr>
        <w:t>对外公开，接受社会监督。对绩效自评工作中发现的问题及时整改，优化部门管理，进一步提升单位工作效能和履责效益。</w:t>
      </w:r>
    </w:p>
    <w:p>
      <w:pPr>
        <w:keepNext w:val="0"/>
        <w:keepLines w:val="0"/>
        <w:pageBreakBefore w:val="0"/>
        <w:widowControl/>
        <w:kinsoku/>
        <w:wordWrap/>
        <w:overflowPunct/>
        <w:topLinePunct w:val="0"/>
        <w:bidi w:val="0"/>
        <w:snapToGrid/>
        <w:spacing w:line="600" w:lineRule="exact"/>
        <w:ind w:firstLine="645"/>
        <w:jc w:val="left"/>
        <w:rPr>
          <w:rFonts w:eastAsia="黑体"/>
          <w:sz w:val="32"/>
          <w:szCs w:val="32"/>
        </w:rPr>
      </w:pPr>
      <w:r>
        <w:rPr>
          <w:rFonts w:hint="eastAsia" w:eastAsia="黑体" w:cs="黑体"/>
          <w:sz w:val="32"/>
          <w:szCs w:val="32"/>
        </w:rPr>
        <w:t>十、其他需要说明的情况</w:t>
      </w:r>
    </w:p>
    <w:p>
      <w:pPr>
        <w:pStyle w:val="10"/>
        <w:keepNext w:val="0"/>
        <w:keepLines w:val="0"/>
        <w:pageBreakBefore w:val="0"/>
        <w:kinsoku/>
        <w:wordWrap/>
        <w:overflowPunct/>
        <w:topLinePunct w:val="0"/>
        <w:bidi w:val="0"/>
        <w:snapToGrid/>
        <w:spacing w:line="600" w:lineRule="exact"/>
        <w:rPr>
          <w:sz w:val="30"/>
          <w:szCs w:val="30"/>
        </w:rPr>
      </w:pPr>
    </w:p>
    <w:p>
      <w:pPr>
        <w:pStyle w:val="10"/>
        <w:keepNext w:val="0"/>
        <w:keepLines w:val="0"/>
        <w:pageBreakBefore w:val="0"/>
        <w:kinsoku/>
        <w:wordWrap/>
        <w:overflowPunct/>
        <w:topLinePunct w:val="0"/>
        <w:bidi w:val="0"/>
        <w:snapToGrid/>
        <w:spacing w:line="600" w:lineRule="exact"/>
        <w:rPr>
          <w:sz w:val="30"/>
          <w:szCs w:val="30"/>
        </w:rPr>
      </w:pPr>
    </w:p>
    <w:p>
      <w:pPr>
        <w:keepNext w:val="0"/>
        <w:keepLines w:val="0"/>
        <w:pageBreakBefore w:val="0"/>
        <w:widowControl/>
        <w:kinsoku/>
        <w:wordWrap/>
        <w:overflowPunct/>
        <w:topLinePunct w:val="0"/>
        <w:bidi w:val="0"/>
        <w:snapToGrid/>
        <w:spacing w:line="600" w:lineRule="exact"/>
        <w:ind w:firstLine="645"/>
        <w:jc w:val="left"/>
        <w:rPr>
          <w:sz w:val="30"/>
          <w:szCs w:val="30"/>
        </w:rPr>
      </w:pPr>
      <w:r>
        <w:rPr>
          <w:rFonts w:hint="eastAsia" w:cs="仿宋_GB2312"/>
          <w:sz w:val="30"/>
          <w:szCs w:val="30"/>
        </w:rPr>
        <w:t>附件：</w:t>
      </w:r>
    </w:p>
    <w:p>
      <w:pPr>
        <w:keepNext w:val="0"/>
        <w:keepLines w:val="0"/>
        <w:pageBreakBefore w:val="0"/>
        <w:widowControl/>
        <w:kinsoku/>
        <w:wordWrap/>
        <w:overflowPunct/>
        <w:topLinePunct w:val="0"/>
        <w:bidi w:val="0"/>
        <w:snapToGrid/>
        <w:spacing w:line="600" w:lineRule="exact"/>
        <w:ind w:firstLine="645"/>
        <w:jc w:val="left"/>
        <w:rPr>
          <w:sz w:val="30"/>
          <w:szCs w:val="30"/>
        </w:rPr>
      </w:pPr>
      <w:r>
        <w:rPr>
          <w:sz w:val="30"/>
          <w:szCs w:val="30"/>
        </w:rPr>
        <w:t>1.</w:t>
      </w:r>
      <w:r>
        <w:rPr>
          <w:rFonts w:hint="eastAsia" w:cs="仿宋_GB2312"/>
          <w:sz w:val="30"/>
          <w:szCs w:val="30"/>
        </w:rPr>
        <w:t>部门整体支出绩效评价基础数据表</w:t>
      </w:r>
    </w:p>
    <w:p>
      <w:pPr>
        <w:keepNext w:val="0"/>
        <w:keepLines w:val="0"/>
        <w:pageBreakBefore w:val="0"/>
        <w:widowControl/>
        <w:kinsoku/>
        <w:wordWrap/>
        <w:overflowPunct/>
        <w:topLinePunct w:val="0"/>
        <w:bidi w:val="0"/>
        <w:snapToGrid/>
        <w:spacing w:line="600" w:lineRule="exact"/>
        <w:ind w:firstLine="645"/>
        <w:jc w:val="left"/>
        <w:rPr>
          <w:sz w:val="30"/>
          <w:szCs w:val="30"/>
        </w:rPr>
      </w:pPr>
      <w:r>
        <w:rPr>
          <w:sz w:val="30"/>
          <w:szCs w:val="30"/>
        </w:rPr>
        <w:t>2.</w:t>
      </w:r>
      <w:r>
        <w:rPr>
          <w:rFonts w:hint="eastAsia" w:cs="仿宋_GB2312"/>
          <w:sz w:val="30"/>
          <w:szCs w:val="30"/>
        </w:rPr>
        <w:t>部门整体支出绩效自评表</w:t>
      </w:r>
    </w:p>
    <w:p>
      <w:pPr>
        <w:keepNext w:val="0"/>
        <w:keepLines w:val="0"/>
        <w:pageBreakBefore w:val="0"/>
        <w:widowControl/>
        <w:kinsoku/>
        <w:wordWrap/>
        <w:overflowPunct/>
        <w:topLinePunct w:val="0"/>
        <w:bidi w:val="0"/>
        <w:snapToGrid/>
        <w:spacing w:line="600" w:lineRule="exact"/>
        <w:ind w:firstLine="645"/>
        <w:jc w:val="left"/>
        <w:rPr>
          <w:rFonts w:eastAsia="仿宋"/>
          <w:color w:val="000000"/>
          <w:sz w:val="32"/>
          <w:szCs w:val="32"/>
        </w:rPr>
      </w:pPr>
      <w:r>
        <w:rPr>
          <w:sz w:val="30"/>
          <w:szCs w:val="30"/>
        </w:rPr>
        <w:t>3.</w:t>
      </w:r>
      <w:r>
        <w:rPr>
          <w:rFonts w:hint="eastAsia" w:cs="仿宋_GB2312"/>
          <w:sz w:val="30"/>
          <w:szCs w:val="30"/>
        </w:rPr>
        <w:t>项目支出绩效自评表</w:t>
      </w:r>
    </w:p>
    <w:p>
      <w:pPr>
        <w:keepNext w:val="0"/>
        <w:keepLines w:val="0"/>
        <w:pageBreakBefore w:val="0"/>
        <w:kinsoku/>
        <w:wordWrap/>
        <w:overflowPunct/>
        <w:topLinePunct w:val="0"/>
        <w:bidi w:val="0"/>
        <w:snapToGrid/>
        <w:spacing w:line="600" w:lineRule="exact"/>
      </w:pPr>
    </w:p>
    <w:p>
      <w:pPr>
        <w:spacing w:line="500" w:lineRule="exact"/>
      </w:pPr>
      <w:r>
        <w:t xml:space="preserve">    </w:t>
      </w:r>
    </w:p>
    <w:p>
      <w:pPr>
        <w:widowControl/>
        <w:spacing w:line="500" w:lineRule="exact"/>
        <w:ind w:firstLine="645"/>
        <w:jc w:val="left"/>
        <w:rPr>
          <w:sz w:val="30"/>
          <w:szCs w:val="30"/>
        </w:rPr>
      </w:pPr>
    </w:p>
    <w:p>
      <w:pPr>
        <w:pStyle w:val="10"/>
        <w:spacing w:line="500" w:lineRule="exact"/>
        <w:rPr>
          <w:rFonts w:eastAsia="仿宋_GB2312"/>
          <w:sz w:val="30"/>
          <w:szCs w:val="30"/>
        </w:rPr>
      </w:pPr>
    </w:p>
    <w:p>
      <w:pPr>
        <w:pStyle w:val="10"/>
        <w:spacing w:line="500" w:lineRule="exact"/>
        <w:rPr>
          <w:rFonts w:eastAsia="仿宋_GB2312"/>
          <w:sz w:val="30"/>
          <w:szCs w:val="3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D2D557-A197-4E6A-9BA2-561E4DA82D0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B15964D-7FF1-457D-BBEA-B36A585B62DD}"/>
  </w:font>
  <w:font w:name="仿宋_GB2312">
    <w:altName w:val="仿宋"/>
    <w:panose1 w:val="02010609030101010101"/>
    <w:charset w:val="86"/>
    <w:family w:val="modern"/>
    <w:pitch w:val="default"/>
    <w:sig w:usb0="00000000" w:usb1="00000000" w:usb2="00000010" w:usb3="00000000" w:csb0="00040000" w:csb1="00000000"/>
    <w:embedRegular r:id="rId3" w:fontKey="{0361D6AA-489D-4324-9283-623F39E99ED6}"/>
  </w:font>
  <w:font w:name="方正小标宋_GBK">
    <w:panose1 w:val="02000000000000000000"/>
    <w:charset w:val="86"/>
    <w:family w:val="script"/>
    <w:pitch w:val="default"/>
    <w:sig w:usb0="A00002BF" w:usb1="38CF7CFA" w:usb2="00082016" w:usb3="00000000" w:csb0="00040001" w:csb1="00000000"/>
    <w:embedRegular r:id="rId4" w:fontKey="{B7BAB460-270F-42B5-A051-4A2EF3A7AA33}"/>
  </w:font>
  <w:font w:name="仿宋">
    <w:panose1 w:val="02010609060101010101"/>
    <w:charset w:val="86"/>
    <w:family w:val="modern"/>
    <w:pitch w:val="default"/>
    <w:sig w:usb0="800002BF" w:usb1="38CF7CFA" w:usb2="00000016" w:usb3="00000000" w:csb0="00040001" w:csb1="00000000"/>
    <w:embedRegular r:id="rId5" w:fontKey="{2E3D4D5C-367F-43DD-A2C8-D3EE3A4BB2EB}"/>
  </w:font>
  <w:font w:name="楷体_GB2312">
    <w:altName w:val="楷体"/>
    <w:panose1 w:val="02010609030101010101"/>
    <w:charset w:val="86"/>
    <w:family w:val="modern"/>
    <w:pitch w:val="default"/>
    <w:sig w:usb0="00000000" w:usb1="00000000" w:usb2="00000010" w:usb3="00000000" w:csb0="00040000" w:csb1="00000000"/>
    <w:embedRegular r:id="rId6" w:fontKey="{302E2BBE-CA51-48C0-B3EB-F59DB5CB4136}"/>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9</w:t>
    </w:r>
    <w:r>
      <w:rPr>
        <w:rStyle w:val="9"/>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2DD9B"/>
    <w:multiLevelType w:val="singleLevel"/>
    <w:tmpl w:val="D382DD9B"/>
    <w:lvl w:ilvl="0" w:tentative="0">
      <w:start w:val="2"/>
      <w:numFmt w:val="chineseCounting"/>
      <w:suff w:val="nothing"/>
      <w:lvlText w:val="（%1）"/>
      <w:lvlJc w:val="left"/>
      <w:rPr>
        <w:rFonts w:hint="eastAsia"/>
      </w:rPr>
    </w:lvl>
  </w:abstractNum>
  <w:abstractNum w:abstractNumId="1">
    <w:nsid w:val="E77E36D8"/>
    <w:multiLevelType w:val="singleLevel"/>
    <w:tmpl w:val="E77E36D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hkOGI5OTViNWQ1NjlkYjcxNjQwODY3OTJlY2UxZDYifQ=="/>
  </w:docVars>
  <w:rsids>
    <w:rsidRoot w:val="D7F5C6E8"/>
    <w:rsid w:val="001415C9"/>
    <w:rsid w:val="001B55C7"/>
    <w:rsid w:val="005E0FC8"/>
    <w:rsid w:val="0067612B"/>
    <w:rsid w:val="0098274A"/>
    <w:rsid w:val="00AF68E9"/>
    <w:rsid w:val="00D8462A"/>
    <w:rsid w:val="00F9223E"/>
    <w:rsid w:val="00FE30B0"/>
    <w:rsid w:val="0486037F"/>
    <w:rsid w:val="05F97A0C"/>
    <w:rsid w:val="06C905A4"/>
    <w:rsid w:val="08E83C73"/>
    <w:rsid w:val="0B5404DC"/>
    <w:rsid w:val="0DD90D3A"/>
    <w:rsid w:val="15235A0E"/>
    <w:rsid w:val="1D8A7671"/>
    <w:rsid w:val="1EF714FC"/>
    <w:rsid w:val="1EFD53CA"/>
    <w:rsid w:val="22CD3F97"/>
    <w:rsid w:val="22DD2D2C"/>
    <w:rsid w:val="235C1499"/>
    <w:rsid w:val="27703055"/>
    <w:rsid w:val="29E01656"/>
    <w:rsid w:val="321E2D8E"/>
    <w:rsid w:val="32E17A01"/>
    <w:rsid w:val="35973B40"/>
    <w:rsid w:val="37E58B0E"/>
    <w:rsid w:val="38104D2C"/>
    <w:rsid w:val="3ABE1FBB"/>
    <w:rsid w:val="3D6A154B"/>
    <w:rsid w:val="3FFD445E"/>
    <w:rsid w:val="4A2762B8"/>
    <w:rsid w:val="53BA0BEB"/>
    <w:rsid w:val="53C6520D"/>
    <w:rsid w:val="57BDA83F"/>
    <w:rsid w:val="588F55AF"/>
    <w:rsid w:val="5B4001D6"/>
    <w:rsid w:val="62391B1E"/>
    <w:rsid w:val="63024A95"/>
    <w:rsid w:val="63FC5920"/>
    <w:rsid w:val="65AE6E58"/>
    <w:rsid w:val="666E5614"/>
    <w:rsid w:val="677FA283"/>
    <w:rsid w:val="68D43F4F"/>
    <w:rsid w:val="6B0C43AE"/>
    <w:rsid w:val="6B8E2D0B"/>
    <w:rsid w:val="6DE433D5"/>
    <w:rsid w:val="6FD150C3"/>
    <w:rsid w:val="6FFB3938"/>
    <w:rsid w:val="71F351A6"/>
    <w:rsid w:val="733D355C"/>
    <w:rsid w:val="73BB10EE"/>
    <w:rsid w:val="73EFEEE1"/>
    <w:rsid w:val="73FF14E9"/>
    <w:rsid w:val="75EFACF8"/>
    <w:rsid w:val="766E0C8E"/>
    <w:rsid w:val="76FFF031"/>
    <w:rsid w:val="779C01FF"/>
    <w:rsid w:val="77DFCB2B"/>
    <w:rsid w:val="79EFB67C"/>
    <w:rsid w:val="7B9FD535"/>
    <w:rsid w:val="7CFF7E7A"/>
    <w:rsid w:val="7D0C031A"/>
    <w:rsid w:val="7E491C80"/>
    <w:rsid w:val="7EC33A42"/>
    <w:rsid w:val="7EFF463A"/>
    <w:rsid w:val="7FDB96EE"/>
    <w:rsid w:val="7FF883F1"/>
    <w:rsid w:val="7FFBAC53"/>
    <w:rsid w:val="AFE7C9D5"/>
    <w:rsid w:val="B3EBCEAB"/>
    <w:rsid w:val="BADC89D7"/>
    <w:rsid w:val="BB8A37A5"/>
    <w:rsid w:val="BEFBB108"/>
    <w:rsid w:val="BEFFD95C"/>
    <w:rsid w:val="C7BDD227"/>
    <w:rsid w:val="CFBFD52F"/>
    <w:rsid w:val="D77F75A2"/>
    <w:rsid w:val="D7F5C6E8"/>
    <w:rsid w:val="E7CB99EC"/>
    <w:rsid w:val="EA7DE20A"/>
    <w:rsid w:val="ECDFDB4D"/>
    <w:rsid w:val="F79133C9"/>
    <w:rsid w:val="F7BBB70C"/>
    <w:rsid w:val="FE6F07B6"/>
    <w:rsid w:val="FFAD7386"/>
    <w:rsid w:val="FFC33333"/>
    <w:rsid w:val="FFEF4B48"/>
    <w:rsid w:val="FFFB31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szCs w:val="28"/>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afterAutospacing="0"/>
      <w:ind w:left="420" w:leftChars="2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2"/>
    <w:basedOn w:val="2"/>
    <w:unhideWhenUsed/>
    <w:qFormat/>
    <w:uiPriority w:val="99"/>
    <w:pPr>
      <w:ind w:firstLine="420" w:firstLineChars="200"/>
    </w:pPr>
  </w:style>
  <w:style w:type="character" w:styleId="9">
    <w:name w:val="page number"/>
    <w:basedOn w:val="8"/>
    <w:qFormat/>
    <w:uiPriority w:val="99"/>
  </w:style>
  <w:style w:type="paragraph" w:customStyle="1" w:styleId="10">
    <w:name w:val="BodyText"/>
    <w:basedOn w:val="1"/>
    <w:qFormat/>
    <w:uiPriority w:val="99"/>
    <w:pPr>
      <w:spacing w:after="120"/>
      <w:textAlignment w:val="baseline"/>
    </w:pPr>
    <w:rPr>
      <w:rFonts w:eastAsia="宋体"/>
      <w:sz w:val="32"/>
      <w:szCs w:val="32"/>
    </w:rPr>
  </w:style>
  <w:style w:type="character" w:customStyle="1" w:styleId="11">
    <w:name w:val="Footer Char"/>
    <w:basedOn w:val="8"/>
    <w:link w:val="3"/>
    <w:semiHidden/>
    <w:qFormat/>
    <w:uiPriority w:val="99"/>
    <w:rPr>
      <w:rFonts w:eastAsia="仿宋_GB2312"/>
      <w:sz w:val="18"/>
      <w:szCs w:val="18"/>
    </w:rPr>
  </w:style>
  <w:style w:type="paragraph" w:styleId="12">
    <w:name w:val="List Paragraph"/>
    <w:basedOn w:val="1"/>
    <w:qFormat/>
    <w:uiPriority w:val="99"/>
    <w:pPr>
      <w:ind w:firstLine="420" w:firstLineChars="200"/>
    </w:pPr>
    <w:rPr>
      <w:rFonts w:ascii="Calibri" w:hAnsi="Calibri" w:cs="Calibri"/>
    </w:rPr>
  </w:style>
  <w:style w:type="character" w:customStyle="1" w:styleId="13">
    <w:name w:val="Header Char"/>
    <w:basedOn w:val="8"/>
    <w:link w:val="4"/>
    <w:qFormat/>
    <w:locked/>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天晟网络</Company>
  <Pages>9</Pages>
  <Words>677</Words>
  <Characters>3862</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2022-08-30T10:28:00Z</dcterms:created>
  <dc:creator>greatwall</dc:creator>
  <cp:lastModifiedBy>喋喋以喋喋</cp:lastModifiedBy>
  <cp:lastPrinted>2022-09-05T08:06:00Z</cp:lastPrinted>
  <dcterms:modified xsi:type="dcterms:W3CDTF">2023-12-07T07:08:53Z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744831E86A9340A3AA630B806392470C</vt:lpwstr>
  </property>
</Properties>
</file>