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附件</w:t>
      </w:r>
      <w:r>
        <w:rPr>
          <w:rFonts w:ascii="Times New Roman" w:hAnsi="Times New Roman" w:eastAsia="仿宋_GB2312" w:cs="Times New Roman"/>
          <w:kern w:val="0"/>
          <w:sz w:val="32"/>
          <w:szCs w:val="32"/>
        </w:rPr>
        <w:t>4</w:t>
      </w:r>
    </w:p>
    <w:p>
      <w:pPr>
        <w:spacing w:line="560" w:lineRule="exact"/>
        <w:jc w:val="center"/>
        <w:rPr>
          <w:rFonts w:ascii="Times New Roman" w:hAnsi="Times New Roman" w:eastAsia="方正小标宋_GBK" w:cs="Times New Roman"/>
          <w:kern w:val="0"/>
          <w:sz w:val="44"/>
          <w:szCs w:val="44"/>
        </w:rPr>
      </w:pPr>
    </w:p>
    <w:p>
      <w:pPr>
        <w:spacing w:line="600" w:lineRule="exact"/>
        <w:jc w:val="center"/>
        <w:rPr>
          <w:rFonts w:hint="eastAsia" w:ascii="宋体" w:hAnsi="宋体" w:cs="宋体"/>
          <w:b/>
          <w:bCs/>
          <w:spacing w:val="-10"/>
          <w:kern w:val="0"/>
          <w:sz w:val="44"/>
          <w:szCs w:val="44"/>
        </w:rPr>
      </w:pPr>
      <w:r>
        <w:rPr>
          <w:rFonts w:ascii="宋体" w:hAnsi="宋体" w:cs="宋体"/>
          <w:b/>
          <w:bCs/>
          <w:spacing w:val="-10"/>
          <w:kern w:val="0"/>
          <w:sz w:val="44"/>
          <w:szCs w:val="44"/>
        </w:rPr>
        <w:t>202</w:t>
      </w:r>
      <w:r>
        <w:rPr>
          <w:rFonts w:hint="eastAsia" w:ascii="宋体" w:hAnsi="宋体" w:cs="宋体"/>
          <w:b/>
          <w:bCs/>
          <w:spacing w:val="-10"/>
          <w:kern w:val="0"/>
          <w:sz w:val="44"/>
          <w:szCs w:val="44"/>
          <w:lang w:val="en-US" w:eastAsia="zh-CN"/>
        </w:rPr>
        <w:t>2</w:t>
      </w:r>
      <w:r>
        <w:rPr>
          <w:rFonts w:hint="eastAsia" w:ascii="宋体" w:hAnsi="宋体" w:cs="宋体"/>
          <w:b/>
          <w:bCs/>
          <w:spacing w:val="-10"/>
          <w:kern w:val="0"/>
          <w:sz w:val="44"/>
          <w:szCs w:val="44"/>
        </w:rPr>
        <w:t>年度</w:t>
      </w:r>
      <w:r>
        <w:rPr>
          <w:rFonts w:hint="eastAsia" w:ascii="宋体" w:hAnsi="宋体" w:cs="宋体"/>
          <w:b/>
          <w:bCs/>
          <w:spacing w:val="-10"/>
          <w:kern w:val="0"/>
          <w:sz w:val="44"/>
          <w:szCs w:val="44"/>
          <w:lang w:eastAsia="zh-CN"/>
        </w:rPr>
        <w:t>泥窝潭乡</w:t>
      </w:r>
      <w:r>
        <w:rPr>
          <w:rFonts w:hint="eastAsia" w:ascii="宋体" w:hAnsi="宋体" w:cs="宋体"/>
          <w:b/>
          <w:bCs/>
          <w:spacing w:val="-10"/>
          <w:kern w:val="0"/>
          <w:sz w:val="44"/>
          <w:szCs w:val="44"/>
        </w:rPr>
        <w:t>部门整体支出绩效自评报告</w:t>
      </w:r>
    </w:p>
    <w:p>
      <w:pPr>
        <w:spacing w:line="600" w:lineRule="exact"/>
        <w:jc w:val="center"/>
        <w:rPr>
          <w:rFonts w:hint="eastAsia" w:ascii="宋体" w:hAnsi="宋体" w:cs="宋体"/>
          <w:b/>
          <w:bCs/>
          <w:spacing w:val="-10"/>
          <w:kern w:val="0"/>
          <w:sz w:val="44"/>
          <w:szCs w:val="44"/>
        </w:rPr>
      </w:pPr>
    </w:p>
    <w:p>
      <w:pPr>
        <w:widowControl/>
        <w:spacing w:line="640" w:lineRule="exact"/>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一、部门概况</w:t>
      </w:r>
    </w:p>
    <w:p>
      <w:pPr>
        <w:widowControl/>
        <w:wordWrap/>
        <w:adjustRightInd/>
        <w:snapToGrid/>
        <w:spacing w:line="600" w:lineRule="atLeast"/>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（一）机构、人员构成</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00" w:lineRule="atLeast"/>
        <w:ind w:left="0" w:right="0" w:firstLine="645"/>
        <w:jc w:val="left"/>
        <w:textAlignment w:val="auto"/>
        <w:rPr>
          <w:rFonts w:hint="eastAsia" w:asciiTheme="minorEastAsia" w:hAnsiTheme="minorEastAsia" w:eastAsiaTheme="minorEastAsia" w:cstheme="minorEastAsia"/>
          <w:kern w:val="0"/>
          <w:sz w:val="30"/>
          <w:szCs w:val="30"/>
          <w:lang w:val="en-US" w:eastAsia="zh-CN" w:bidi="ar-SA"/>
        </w:rPr>
      </w:pPr>
      <w:r>
        <w:rPr>
          <w:rFonts w:hint="eastAsia" w:asciiTheme="minorEastAsia" w:hAnsiTheme="minorEastAsia" w:eastAsiaTheme="minorEastAsia" w:cstheme="minorEastAsia"/>
          <w:kern w:val="0"/>
          <w:sz w:val="30"/>
          <w:szCs w:val="30"/>
          <w:lang w:val="en-US" w:eastAsia="zh-CN" w:bidi="ar-SA"/>
        </w:rPr>
        <w:t>桃源县泥窝潭乡辖行政村9个，政府机关1个，下设5个站所，包括：政务服务中心、社会事务综合服务中心、农业综合服务中心、退役军人服务站、综合行政执法大队。</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00" w:lineRule="atLeast"/>
        <w:ind w:left="0" w:right="0" w:firstLine="645"/>
        <w:jc w:val="left"/>
        <w:textAlignment w:val="auto"/>
        <w:rPr>
          <w:rFonts w:hint="eastAsia" w:asciiTheme="minorEastAsia" w:hAnsiTheme="minorEastAsia" w:eastAsiaTheme="minorEastAsia" w:cstheme="minorEastAsia"/>
          <w:kern w:val="0"/>
          <w:sz w:val="32"/>
          <w:szCs w:val="32"/>
          <w:lang w:val="en-US" w:eastAsia="zh-CN" w:bidi="ar-SA"/>
        </w:rPr>
      </w:pPr>
      <w:r>
        <w:rPr>
          <w:rFonts w:hint="eastAsia" w:asciiTheme="minorEastAsia" w:hAnsiTheme="minorEastAsia" w:eastAsiaTheme="minorEastAsia" w:cstheme="minorEastAsia"/>
          <w:kern w:val="0"/>
          <w:sz w:val="30"/>
          <w:szCs w:val="30"/>
          <w:lang w:val="en-US" w:eastAsia="zh-CN" w:bidi="ar-SA"/>
        </w:rPr>
        <w:t>人员及编制情况：泥窝潭乡人民政府属于行政事业单位。核定行政事业编制58个，其中：行政编制21个、事业编制37个。编内在职人数48人，其中：行政编人数21人、事业编人数27人。退休人员27人。村（居）民委员会。核定村居干部编制37个，实有人数37人。</w:t>
      </w:r>
    </w:p>
    <w:p>
      <w:pPr>
        <w:widowControl/>
        <w:wordWrap/>
        <w:adjustRightInd/>
        <w:snapToGrid/>
        <w:spacing w:line="600" w:lineRule="atLeast"/>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（二）单位主要职责</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00" w:lineRule="atLeast"/>
        <w:ind w:left="0" w:right="0" w:firstLine="645"/>
        <w:jc w:val="left"/>
        <w:textAlignment w:val="auto"/>
        <w:rPr>
          <w:rFonts w:hint="eastAsia" w:asciiTheme="minorEastAsia" w:hAnsiTheme="minorEastAsia" w:eastAsiaTheme="minorEastAsia" w:cstheme="minorEastAsia"/>
          <w:kern w:val="0"/>
          <w:sz w:val="30"/>
          <w:szCs w:val="30"/>
          <w:lang w:val="en-US" w:eastAsia="zh-CN" w:bidi="ar-SA"/>
        </w:rPr>
      </w:pPr>
      <w:r>
        <w:rPr>
          <w:rFonts w:hint="eastAsia" w:asciiTheme="minorEastAsia" w:hAnsiTheme="minorEastAsia" w:eastAsiaTheme="minorEastAsia" w:cstheme="minorEastAsia"/>
          <w:kern w:val="0"/>
          <w:sz w:val="30"/>
          <w:szCs w:val="30"/>
          <w:lang w:val="en-US" w:eastAsia="zh-CN" w:bidi="ar-SA"/>
        </w:rPr>
        <w:t>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00" w:lineRule="atLeast"/>
        <w:ind w:left="0" w:right="0" w:firstLine="645"/>
        <w:jc w:val="left"/>
        <w:textAlignment w:val="auto"/>
        <w:rPr>
          <w:rFonts w:hint="eastAsia" w:asciiTheme="minorEastAsia" w:hAnsiTheme="minorEastAsia" w:eastAsiaTheme="minorEastAsia" w:cstheme="minorEastAsia"/>
          <w:kern w:val="0"/>
          <w:sz w:val="30"/>
          <w:szCs w:val="30"/>
          <w:lang w:val="en-US" w:eastAsia="zh-CN" w:bidi="ar-SA"/>
        </w:rPr>
      </w:pPr>
      <w:r>
        <w:rPr>
          <w:rFonts w:hint="eastAsia" w:asciiTheme="minorEastAsia" w:hAnsiTheme="minorEastAsia" w:eastAsiaTheme="minorEastAsia" w:cstheme="minorEastAsia"/>
          <w:kern w:val="0"/>
          <w:sz w:val="30"/>
          <w:szCs w:val="30"/>
          <w:lang w:val="en-US" w:eastAsia="zh-CN" w:bidi="ar-SA"/>
        </w:rPr>
        <w:t>2．制定并组织实施村镇建设规划，部署重点工程建设，地方道路建设及公共设施，水利设施的管理，负责土地、林木、水等自然资源和生态环境的保护，做好护林防火工作。</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00" w:lineRule="atLeast"/>
        <w:ind w:left="0" w:right="0" w:firstLine="645"/>
        <w:jc w:val="left"/>
        <w:textAlignment w:val="auto"/>
        <w:rPr>
          <w:rFonts w:hint="eastAsia" w:asciiTheme="minorEastAsia" w:hAnsiTheme="minorEastAsia" w:eastAsiaTheme="minorEastAsia" w:cstheme="minorEastAsia"/>
          <w:kern w:val="0"/>
          <w:sz w:val="30"/>
          <w:szCs w:val="30"/>
          <w:lang w:val="en-US" w:eastAsia="zh-CN" w:bidi="ar-SA"/>
        </w:rPr>
      </w:pPr>
      <w:r>
        <w:rPr>
          <w:rFonts w:hint="eastAsia" w:asciiTheme="minorEastAsia" w:hAnsiTheme="minorEastAsia" w:eastAsiaTheme="minorEastAsia" w:cstheme="minorEastAsia"/>
          <w:kern w:val="0"/>
          <w:sz w:val="30"/>
          <w:szCs w:val="30"/>
          <w:lang w:val="en-US" w:eastAsia="zh-CN" w:bidi="ar-SA"/>
        </w:rPr>
        <w:t>3．负责本乡镇区域内的民政、计划生育、文化教育、卫生、体育等社会公益事业的综合性工作，维护一切经济单位和个人的正当经济权益，取缔非法经济活动，调解和处理民事纠纷，打击刑事犯罪维护社会稳定。</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00" w:lineRule="atLeast"/>
        <w:ind w:left="0" w:right="0" w:firstLine="645"/>
        <w:jc w:val="left"/>
        <w:textAlignment w:val="auto"/>
        <w:rPr>
          <w:rFonts w:hint="eastAsia" w:asciiTheme="minorEastAsia" w:hAnsiTheme="minorEastAsia" w:eastAsiaTheme="minorEastAsia" w:cstheme="minorEastAsia"/>
          <w:kern w:val="0"/>
          <w:sz w:val="30"/>
          <w:szCs w:val="30"/>
          <w:lang w:val="en-US" w:eastAsia="zh-CN" w:bidi="ar-SA"/>
        </w:rPr>
      </w:pPr>
      <w:r>
        <w:rPr>
          <w:rFonts w:hint="eastAsia" w:asciiTheme="minorEastAsia" w:hAnsiTheme="minorEastAsia" w:eastAsiaTheme="minorEastAsia" w:cstheme="minorEastAsia"/>
          <w:kern w:val="0"/>
          <w:sz w:val="30"/>
          <w:szCs w:val="30"/>
          <w:lang w:val="en-US" w:eastAsia="zh-CN" w:bidi="ar-SA"/>
        </w:rPr>
        <w:t>4．按计划组织本级财政收入和地方税的征收，完成国家财政计划，不断培植税源，管好财政资金，增强财政实力。</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00" w:lineRule="atLeast"/>
        <w:ind w:left="0" w:right="0" w:firstLine="645"/>
        <w:jc w:val="left"/>
        <w:textAlignment w:val="auto"/>
        <w:rPr>
          <w:rFonts w:hint="eastAsia" w:asciiTheme="minorEastAsia" w:hAnsiTheme="minorEastAsia" w:eastAsiaTheme="minorEastAsia" w:cstheme="minorEastAsia"/>
          <w:kern w:val="0"/>
          <w:sz w:val="30"/>
          <w:szCs w:val="30"/>
          <w:lang w:val="en-US" w:eastAsia="zh-CN" w:bidi="ar-SA"/>
        </w:rPr>
      </w:pPr>
      <w:r>
        <w:rPr>
          <w:rFonts w:hint="eastAsia" w:asciiTheme="minorEastAsia" w:hAnsiTheme="minorEastAsia" w:eastAsiaTheme="minorEastAsia" w:cstheme="minorEastAsia"/>
          <w:kern w:val="0"/>
          <w:sz w:val="30"/>
          <w:szCs w:val="30"/>
          <w:lang w:val="en-US" w:eastAsia="zh-CN" w:bidi="ar-SA"/>
        </w:rPr>
        <w:t>5．抓好精神文明建设，丰富群众文化生活，提倡移风易俗，反对封建迷信，破除陈规陋习，树立社会主义新风尚。</w:t>
      </w:r>
    </w:p>
    <w:p>
      <w:pPr>
        <w:widowControl/>
        <w:wordWrap/>
        <w:adjustRightInd/>
        <w:snapToGrid/>
        <w:spacing w:line="600" w:lineRule="atLeast"/>
        <w:ind w:firstLine="640" w:firstLineChars="200"/>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（三）、部门财务情况</w:t>
      </w:r>
    </w:p>
    <w:p>
      <w:pPr>
        <w:widowControl/>
        <w:wordWrap/>
        <w:adjustRightInd/>
        <w:snapToGrid/>
        <w:spacing w:before="0" w:line="600" w:lineRule="exact"/>
        <w:ind w:right="0" w:firstLine="600" w:firstLineChars="200"/>
        <w:outlineLvl w:val="9"/>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0"/>
          <w:szCs w:val="30"/>
          <w:lang w:val="en-US" w:eastAsia="zh-CN" w:bidi="ar-SA"/>
        </w:rPr>
        <w:t>1、2022年12月31日单位资产总额（不含所属二级预算单位）706.36万元，其中：流动资产583.5万元、非流动资产122.86万元，负债总额318.75万元，净资产总额387.60万元。</w:t>
      </w:r>
    </w:p>
    <w:p>
      <w:pPr>
        <w:widowControl/>
        <w:wordWrap/>
        <w:adjustRightInd/>
        <w:snapToGrid/>
        <w:spacing w:before="0" w:line="600" w:lineRule="exact"/>
        <w:ind w:right="0" w:firstLine="640" w:firstLineChars="200"/>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2、部门整体收支情况</w:t>
      </w:r>
    </w:p>
    <w:p>
      <w:pPr>
        <w:widowControl/>
        <w:wordWrap/>
        <w:adjustRightInd/>
        <w:snapToGrid/>
        <w:spacing w:before="0" w:line="600" w:lineRule="exact"/>
        <w:ind w:right="0" w:firstLine="600" w:firstLineChars="200"/>
        <w:outlineLvl w:val="9"/>
        <w:rPr>
          <w:rFonts w:hint="eastAsia" w:asciiTheme="minorEastAsia" w:hAnsiTheme="minorEastAsia" w:eastAsiaTheme="minorEastAsia" w:cstheme="minorEastAsia"/>
          <w:kern w:val="0"/>
          <w:sz w:val="30"/>
          <w:szCs w:val="30"/>
          <w:lang w:val="en-US" w:eastAsia="zh-CN" w:bidi="ar-SA"/>
        </w:rPr>
      </w:pPr>
      <w:r>
        <w:rPr>
          <w:rFonts w:hint="eastAsia" w:asciiTheme="minorEastAsia" w:hAnsiTheme="minorEastAsia" w:eastAsiaTheme="minorEastAsia" w:cstheme="minorEastAsia"/>
          <w:kern w:val="0"/>
          <w:sz w:val="30"/>
          <w:szCs w:val="30"/>
          <w:lang w:val="en-US" w:eastAsia="zh-CN" w:bidi="ar-SA"/>
        </w:rPr>
        <w:t>2022年部门年初预算收入1548.77万元，决算收入2256.88万元，其中：一般公共预算拨款1928.76万元，政府性基金预算财政拨款收入34.21万元，国有资本经营预算财政拨款收入1.17万元，纳入专户管理的非税收入拨款0万元，其他资金50万元。上年结转242.73万元。</w:t>
      </w:r>
    </w:p>
    <w:p>
      <w:pPr>
        <w:widowControl/>
        <w:wordWrap/>
        <w:adjustRightInd/>
        <w:snapToGrid/>
        <w:spacing w:before="0" w:line="600" w:lineRule="exact"/>
        <w:ind w:right="0" w:firstLine="600" w:firstLineChars="200"/>
        <w:outlineLvl w:val="9"/>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kern w:val="0"/>
          <w:sz w:val="30"/>
          <w:szCs w:val="30"/>
          <w:lang w:val="en-US" w:eastAsia="zh-CN" w:bidi="ar-SA"/>
        </w:rPr>
        <w:t>2022年部门年初预算支出1548.77万元，其中：基本支出1009.66万元，项目支出539.10万元。部门决算支出2256.88万元，其中：基本支出1559.66万元，项目支出697.22万元。</w:t>
      </w:r>
    </w:p>
    <w:p>
      <w:pPr>
        <w:widowControl/>
        <w:wordWrap/>
        <w:adjustRightInd/>
        <w:snapToGrid/>
        <w:spacing w:before="0" w:line="600" w:lineRule="exact"/>
        <w:ind w:right="0" w:firstLine="640" w:firstLineChars="200"/>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（四）部门绩效目标</w:t>
      </w:r>
    </w:p>
    <w:p>
      <w:pPr>
        <w:widowControl/>
        <w:wordWrap/>
        <w:adjustRightInd/>
        <w:snapToGrid/>
        <w:spacing w:before="0" w:line="600" w:lineRule="exact"/>
        <w:ind w:right="0" w:firstLine="600" w:firstLineChars="200"/>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 部门绩效总目标</w:t>
      </w:r>
    </w:p>
    <w:p>
      <w:pPr>
        <w:widowControl/>
        <w:wordWrap/>
        <w:adjustRightInd/>
        <w:snapToGrid/>
        <w:spacing w:before="0" w:line="600" w:lineRule="exact"/>
        <w:ind w:right="0" w:firstLine="600" w:firstLineChars="200"/>
        <w:textAlignment w:val="auto"/>
        <w:outlineLvl w:val="9"/>
        <w:rPr>
          <w:rFonts w:hint="eastAsia" w:asciiTheme="minorEastAsia" w:hAnsiTheme="minorEastAsia" w:eastAsiaTheme="minorEastAsia" w:cstheme="minorEastAsia"/>
          <w:kern w:val="0"/>
          <w:sz w:val="30"/>
          <w:szCs w:val="30"/>
          <w:lang w:val="en-US" w:eastAsia="zh-CN" w:bidi="ar-SA"/>
        </w:rPr>
      </w:pPr>
      <w:r>
        <w:rPr>
          <w:rFonts w:hint="eastAsia" w:asciiTheme="minorEastAsia" w:hAnsiTheme="minorEastAsia" w:eastAsiaTheme="minorEastAsia" w:cstheme="minorEastAsia"/>
          <w:kern w:val="0"/>
          <w:sz w:val="30"/>
          <w:szCs w:val="30"/>
          <w:lang w:val="en-US" w:eastAsia="zh-CN" w:bidi="ar-SA"/>
        </w:rPr>
        <w:t>本单位进行精心细致严谨的预算，将有限的财政资金安排到关系民生项目建设，提高人民幸福感、获得感，保障社会稳定，促进辖区经济发展、保障机构正常运转等方面。部门绩效总目标围绕“强基础、转作风、树形象、保稳定、促发展、惠民生”的工作思路，大力实施“生态立镇、农业稳镇、实干兴镇、项目富镇”的发展战略，大力推进现代农业产业发展。</w:t>
      </w:r>
    </w:p>
    <w:p>
      <w:pPr>
        <w:widowControl/>
        <w:wordWrap/>
        <w:adjustRightInd/>
        <w:snapToGrid/>
        <w:spacing w:before="0" w:line="600" w:lineRule="exact"/>
        <w:ind w:right="0" w:firstLine="600" w:firstLineChars="200"/>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 部门</w:t>
      </w:r>
      <w:r>
        <w:rPr>
          <w:rFonts w:hint="eastAsia" w:asciiTheme="minorEastAsia" w:hAnsiTheme="minorEastAsia" w:eastAsiaTheme="minorEastAsia" w:cstheme="minorEastAsia"/>
          <w:sz w:val="30"/>
          <w:szCs w:val="30"/>
          <w:lang w:eastAsia="zh-CN"/>
        </w:rPr>
        <w:t>2022</w:t>
      </w:r>
      <w:r>
        <w:rPr>
          <w:rFonts w:hint="eastAsia" w:asciiTheme="minorEastAsia" w:hAnsiTheme="minorEastAsia" w:eastAsiaTheme="minorEastAsia" w:cstheme="minorEastAsia"/>
          <w:sz w:val="30"/>
          <w:szCs w:val="30"/>
        </w:rPr>
        <w:t>年度绩效目标</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300" w:afterAutospacing="0" w:line="600" w:lineRule="exact"/>
        <w:ind w:right="0" w:firstLine="600" w:firstLineChars="200"/>
        <w:jc w:val="left"/>
        <w:textAlignment w:val="auto"/>
        <w:outlineLvl w:val="9"/>
        <w:rPr>
          <w:rFonts w:hint="eastAsia" w:ascii="微软雅黑" w:hAnsi="微软雅黑" w:eastAsia="微软雅黑" w:cs="微软雅黑"/>
          <w:i w:val="0"/>
          <w:iCs w:val="0"/>
          <w:caps w:val="0"/>
          <w:color w:val="333333"/>
          <w:spacing w:val="0"/>
          <w:sz w:val="24"/>
          <w:szCs w:val="24"/>
          <w:shd w:val="clear" w:color="080000" w:fill="FFFFFF"/>
        </w:rPr>
      </w:pPr>
      <w:r>
        <w:rPr>
          <w:rFonts w:hint="eastAsia" w:asciiTheme="minorEastAsia" w:hAnsiTheme="minorEastAsia" w:eastAsiaTheme="minorEastAsia" w:cstheme="minorEastAsia"/>
          <w:kern w:val="0"/>
          <w:sz w:val="30"/>
          <w:szCs w:val="30"/>
          <w:lang w:val="en-US" w:eastAsia="zh-CN" w:bidi="ar-SA"/>
        </w:rPr>
        <w:t>根据本单位年初工作计划，本单位2022年度预算绩效目标为：1、抓好招商引资，促进社会事业全面发展。2、抓好基础设施建设及乡村振兴工作，促进街道条件全面改善，改善辖区环境质量。3、抓好居民医疗保险、养老保险工作，使群众老有所养、老有所依。4、保障乡镇基本运行与各项工作的顺利开展，全力维护社会和谐稳定。5、抓好人居环境整治工作，美化全镇生态环境。6、合理运用公共服务保障资金，为辖区居民做好公共服务</w:t>
      </w:r>
      <w:r>
        <w:rPr>
          <w:rFonts w:hint="eastAsia" w:ascii="仿宋" w:hAnsi="仿宋" w:eastAsia="仿宋" w:cs="仿宋"/>
          <w:kern w:val="0"/>
          <w:sz w:val="30"/>
          <w:szCs w:val="30"/>
          <w:lang w:val="en-US" w:eastAsia="zh-CN" w:bidi="ar-SA"/>
        </w:rPr>
        <w:t>。</w:t>
      </w:r>
    </w:p>
    <w:p>
      <w:pPr>
        <w:pStyle w:val="8"/>
        <w:widowControl/>
        <w:wordWrap/>
        <w:adjustRightInd/>
        <w:snapToGrid/>
        <w:spacing w:before="0" w:line="600" w:lineRule="exact"/>
        <w:ind w:right="0" w:firstLine="31680"/>
        <w:outlineLvl w:val="9"/>
        <w:rPr>
          <w:rFonts w:ascii="Times New Roman" w:hAnsi="Times New Roman" w:eastAsia="黑体" w:cs="Times New Roman"/>
          <w:sz w:val="32"/>
          <w:szCs w:val="32"/>
        </w:rPr>
      </w:pPr>
      <w:r>
        <w:rPr>
          <w:rFonts w:hint="eastAsia" w:ascii="Times New Roman" w:hAnsi="Times New Roman" w:eastAsia="黑体" w:cs="黑体"/>
          <w:sz w:val="32"/>
          <w:szCs w:val="32"/>
        </w:rPr>
        <w:t>二、一般公共预算支出情况</w:t>
      </w:r>
    </w:p>
    <w:p>
      <w:pPr>
        <w:widowControl/>
        <w:wordWrap/>
        <w:adjustRightInd/>
        <w:snapToGrid/>
        <w:spacing w:before="0" w:line="600" w:lineRule="exact"/>
        <w:ind w:right="0" w:firstLine="600" w:firstLineChars="200"/>
        <w:outlineLvl w:val="9"/>
        <w:rPr>
          <w:rFonts w:hint="eastAsia" w:ascii="宋体" w:hAnsi="宋体" w:eastAsia="宋体" w:cs="宋体"/>
          <w:sz w:val="30"/>
          <w:szCs w:val="30"/>
        </w:rPr>
      </w:pPr>
      <w:r>
        <w:rPr>
          <w:rFonts w:hint="eastAsia" w:ascii="宋体" w:hAnsi="宋体" w:eastAsia="宋体" w:cs="宋体"/>
          <w:kern w:val="0"/>
          <w:sz w:val="30"/>
          <w:szCs w:val="30"/>
          <w:lang w:val="en-US" w:eastAsia="zh-CN"/>
        </w:rPr>
        <w:t>桃源县泥窝潭乡人民政府</w:t>
      </w:r>
      <w:r>
        <w:rPr>
          <w:rFonts w:hint="eastAsia" w:ascii="宋体" w:hAnsi="宋体" w:eastAsia="宋体" w:cs="宋体"/>
          <w:sz w:val="30"/>
          <w:szCs w:val="30"/>
        </w:rPr>
        <w:t>本级</w:t>
      </w:r>
      <w:r>
        <w:rPr>
          <w:rFonts w:hint="eastAsia" w:ascii="宋体" w:hAnsi="宋体" w:eastAsia="宋体" w:cs="宋体"/>
          <w:sz w:val="30"/>
          <w:szCs w:val="30"/>
          <w:lang w:eastAsia="zh-CN"/>
        </w:rPr>
        <w:t>2022</w:t>
      </w:r>
      <w:r>
        <w:rPr>
          <w:rFonts w:hint="eastAsia" w:ascii="宋体" w:hAnsi="宋体" w:eastAsia="宋体" w:cs="宋体"/>
          <w:sz w:val="30"/>
          <w:szCs w:val="30"/>
        </w:rPr>
        <w:t>年度一般公共预算财政拨款年初结转和结余</w:t>
      </w:r>
      <w:r>
        <w:rPr>
          <w:rFonts w:hint="eastAsia" w:ascii="宋体" w:hAnsi="宋体" w:eastAsia="宋体" w:cs="宋体"/>
          <w:sz w:val="30"/>
          <w:szCs w:val="30"/>
          <w:lang w:val="en-US" w:eastAsia="zh-CN"/>
        </w:rPr>
        <w:t>242.73</w:t>
      </w:r>
      <w:r>
        <w:rPr>
          <w:rFonts w:hint="eastAsia" w:ascii="宋体" w:hAnsi="宋体" w:eastAsia="宋体" w:cs="宋体"/>
          <w:sz w:val="30"/>
          <w:szCs w:val="30"/>
        </w:rPr>
        <w:t>万元，本年收入</w:t>
      </w:r>
      <w:r>
        <w:rPr>
          <w:rFonts w:hint="eastAsia" w:ascii="宋体" w:hAnsi="宋体" w:eastAsia="宋体" w:cs="宋体"/>
          <w:sz w:val="30"/>
          <w:szCs w:val="30"/>
          <w:lang w:val="en-US" w:eastAsia="zh-CN"/>
        </w:rPr>
        <w:t>2132.91</w:t>
      </w:r>
      <w:r>
        <w:rPr>
          <w:rFonts w:hint="eastAsia" w:ascii="宋体" w:hAnsi="宋体" w:eastAsia="宋体" w:cs="宋体"/>
          <w:sz w:val="30"/>
          <w:szCs w:val="30"/>
        </w:rPr>
        <w:t>万元，本年支出</w:t>
      </w:r>
      <w:r>
        <w:rPr>
          <w:rFonts w:hint="eastAsia" w:ascii="宋体" w:hAnsi="宋体" w:eastAsia="宋体" w:cs="宋体"/>
          <w:sz w:val="30"/>
          <w:szCs w:val="30"/>
          <w:lang w:val="en-US" w:eastAsia="zh-CN"/>
        </w:rPr>
        <w:t>2206.88</w:t>
      </w:r>
      <w:r>
        <w:rPr>
          <w:rFonts w:hint="eastAsia" w:ascii="宋体" w:hAnsi="宋体" w:eastAsia="宋体" w:cs="宋体"/>
          <w:sz w:val="30"/>
          <w:szCs w:val="30"/>
        </w:rPr>
        <w:t>万元，年末结转和结余</w:t>
      </w:r>
      <w:r>
        <w:rPr>
          <w:rFonts w:hint="eastAsia" w:ascii="宋体" w:hAnsi="宋体" w:eastAsia="宋体" w:cs="宋体"/>
          <w:sz w:val="30"/>
          <w:szCs w:val="30"/>
          <w:lang w:val="en-US" w:eastAsia="zh-CN"/>
        </w:rPr>
        <w:t>0</w:t>
      </w:r>
      <w:r>
        <w:rPr>
          <w:rFonts w:hint="eastAsia" w:ascii="宋体" w:hAnsi="宋体" w:eastAsia="宋体" w:cs="宋体"/>
          <w:sz w:val="30"/>
          <w:szCs w:val="30"/>
        </w:rPr>
        <w:t>万元。</w:t>
      </w:r>
    </w:p>
    <w:p>
      <w:pPr>
        <w:pStyle w:val="8"/>
        <w:widowControl/>
        <w:wordWrap/>
        <w:adjustRightInd/>
        <w:snapToGrid/>
        <w:spacing w:before="0" w:line="600" w:lineRule="exact"/>
        <w:ind w:right="0" w:firstLine="31680"/>
        <w:jc w:val="left"/>
        <w:outlineLvl w:val="9"/>
        <w:rPr>
          <w:rFonts w:ascii="Times New Roman" w:hAnsi="Times New Roman" w:eastAsia="黑体" w:cs="Times New Roman"/>
          <w:sz w:val="32"/>
          <w:szCs w:val="32"/>
        </w:rPr>
      </w:pPr>
      <w:r>
        <w:rPr>
          <w:rFonts w:hint="eastAsia" w:ascii="Times New Roman" w:hAnsi="Times New Roman" w:eastAsia="黑体" w:cs="黑体"/>
          <w:sz w:val="32"/>
          <w:szCs w:val="32"/>
        </w:rPr>
        <w:t>三、政府性基金预算支出情况</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00" w:lineRule="exact"/>
        <w:ind w:right="0" w:firstLine="600" w:firstLineChars="200"/>
        <w:jc w:val="left"/>
        <w:textAlignment w:val="auto"/>
        <w:outlineLvl w:val="9"/>
        <w:rPr>
          <w:rFonts w:hint="eastAsia" w:ascii="宋体" w:hAnsi="宋体" w:eastAsia="宋体" w:cs="宋体"/>
          <w:sz w:val="30"/>
          <w:szCs w:val="30"/>
        </w:rPr>
      </w:pPr>
      <w:r>
        <w:rPr>
          <w:rFonts w:hint="eastAsia" w:ascii="宋体" w:hAnsi="宋体" w:eastAsia="宋体" w:cs="宋体"/>
          <w:kern w:val="0"/>
          <w:sz w:val="30"/>
          <w:szCs w:val="30"/>
          <w:lang w:val="en-US" w:eastAsia="zh-CN" w:bidi="ar-SA"/>
        </w:rPr>
        <w:t>2022年政府性基金预算收入38.8万元,年初结转和结余0万元；支出34.21万元，其中基本支出34.21万元，项目支出0万元；年末结转和结余0万元。</w:t>
      </w:r>
    </w:p>
    <w:p>
      <w:pPr>
        <w:pStyle w:val="8"/>
        <w:widowControl/>
        <w:numPr>
          <w:ilvl w:val="0"/>
          <w:numId w:val="1"/>
        </w:numPr>
        <w:wordWrap/>
        <w:adjustRightInd/>
        <w:snapToGrid/>
        <w:spacing w:before="0" w:line="600" w:lineRule="exact"/>
        <w:ind w:right="0" w:firstLine="31680"/>
        <w:jc w:val="left"/>
        <w:outlineLvl w:val="9"/>
        <w:rPr>
          <w:rFonts w:ascii="Times New Roman" w:hAnsi="Times New Roman" w:eastAsia="黑体" w:cs="Times New Roman"/>
          <w:sz w:val="32"/>
          <w:szCs w:val="32"/>
        </w:rPr>
      </w:pPr>
      <w:r>
        <w:rPr>
          <w:rFonts w:hint="eastAsia" w:ascii="Times New Roman" w:hAnsi="Times New Roman" w:eastAsia="黑体" w:cs="黑体"/>
          <w:sz w:val="32"/>
          <w:szCs w:val="32"/>
        </w:rPr>
        <w:t>国有资本经营预算支出情况</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00" w:lineRule="exact"/>
        <w:ind w:left="0" w:right="0" w:firstLine="600" w:firstLineChars="200"/>
        <w:jc w:val="left"/>
        <w:textAlignment w:val="auto"/>
        <w:outlineLvl w:val="9"/>
        <w:rPr>
          <w:rFonts w:ascii="Times New Roman" w:hAnsi="Times New Roman" w:cs="Times New Roman"/>
          <w:sz w:val="30"/>
          <w:szCs w:val="30"/>
        </w:rPr>
      </w:pPr>
      <w:r>
        <w:rPr>
          <w:rFonts w:hint="eastAsia" w:ascii="宋体" w:hAnsi="宋体" w:eastAsia="宋体" w:cs="宋体"/>
          <w:kern w:val="0"/>
          <w:sz w:val="30"/>
          <w:szCs w:val="30"/>
          <w:lang w:val="en-US" w:eastAsia="zh-CN" w:bidi="ar-SA"/>
        </w:rPr>
        <w:t>2022年国有资本经营预算收入1.17万元,年初结转和结余0万元；支出1.17万元，其中基本支出0万元，项目支出1.17万元；年末结转和结余0万元。</w:t>
      </w:r>
    </w:p>
    <w:p>
      <w:pPr>
        <w:pStyle w:val="8"/>
        <w:widowControl/>
        <w:numPr>
          <w:ilvl w:val="0"/>
          <w:numId w:val="1"/>
        </w:numPr>
        <w:wordWrap/>
        <w:adjustRightInd/>
        <w:snapToGrid/>
        <w:spacing w:before="0" w:line="600" w:lineRule="exact"/>
        <w:ind w:right="0" w:firstLine="31680"/>
        <w:jc w:val="left"/>
        <w:outlineLvl w:val="9"/>
        <w:rPr>
          <w:rFonts w:ascii="Times New Roman" w:hAnsi="Times New Roman" w:eastAsia="黑体" w:cs="Times New Roman"/>
          <w:sz w:val="32"/>
          <w:szCs w:val="32"/>
        </w:rPr>
      </w:pPr>
      <w:r>
        <w:rPr>
          <w:rFonts w:hint="eastAsia" w:ascii="Times New Roman" w:hAnsi="Times New Roman" w:eastAsia="黑体" w:cs="黑体"/>
          <w:sz w:val="32"/>
          <w:szCs w:val="32"/>
        </w:rPr>
        <w:t>社会保险基金预算支出情况</w:t>
      </w:r>
    </w:p>
    <w:p>
      <w:pPr>
        <w:pStyle w:val="8"/>
        <w:widowControl/>
        <w:wordWrap/>
        <w:adjustRightInd/>
        <w:snapToGrid/>
        <w:spacing w:before="0" w:line="600" w:lineRule="exact"/>
        <w:ind w:left="420" w:leftChars="200" w:right="0" w:firstLine="0" w:firstLineChars="0"/>
        <w:jc w:val="left"/>
        <w:outlineLvl w:val="9"/>
        <w:rPr>
          <w:rFonts w:ascii="Times New Roman" w:hAnsi="Times New Roman" w:cs="Times New Roman"/>
          <w:sz w:val="30"/>
          <w:szCs w:val="30"/>
        </w:rPr>
      </w:pPr>
      <w:r>
        <w:rPr>
          <w:rFonts w:ascii="Times New Roman" w:hAnsi="Times New Roman" w:eastAsia="黑体" w:cs="Times New Roman"/>
          <w:sz w:val="32"/>
          <w:szCs w:val="32"/>
        </w:rPr>
        <w:t xml:space="preserve">     </w:t>
      </w:r>
      <w:r>
        <w:rPr>
          <w:rFonts w:hint="eastAsia" w:ascii="Times New Roman" w:hAnsi="Times New Roman" w:cs="仿宋_GB2312"/>
          <w:sz w:val="30"/>
          <w:szCs w:val="30"/>
        </w:rPr>
        <w:t>无</w:t>
      </w:r>
    </w:p>
    <w:p>
      <w:pPr>
        <w:widowControl/>
        <w:wordWrap/>
        <w:adjustRightInd/>
        <w:snapToGrid/>
        <w:spacing w:before="0" w:line="600" w:lineRule="exact"/>
        <w:ind w:right="0" w:firstLine="640" w:firstLineChars="200"/>
        <w:textAlignment w:val="auto"/>
        <w:outlineLvl w:val="9"/>
        <w:rPr>
          <w:rFonts w:ascii="黑体" w:hAnsi="黑体" w:eastAsia="黑体" w:cs="Times New Roman"/>
          <w:kern w:val="0"/>
          <w:sz w:val="32"/>
          <w:szCs w:val="32"/>
        </w:rPr>
      </w:pPr>
      <w:r>
        <w:rPr>
          <w:rFonts w:hint="eastAsia" w:ascii="黑体" w:hAnsi="黑体" w:eastAsia="黑体" w:cs="黑体"/>
          <w:kern w:val="0"/>
          <w:sz w:val="32"/>
          <w:szCs w:val="32"/>
        </w:rPr>
        <w:t>六、部门整体支出绩效情况</w:t>
      </w:r>
    </w:p>
    <w:p>
      <w:pPr>
        <w:widowControl/>
        <w:wordWrap/>
        <w:adjustRightInd/>
        <w:snapToGrid/>
        <w:spacing w:before="0" w:line="600" w:lineRule="exact"/>
        <w:ind w:right="0" w:firstLine="600" w:firstLineChars="200"/>
        <w:textAlignment w:val="auto"/>
        <w:outlineLvl w:val="9"/>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0"/>
          <w:szCs w:val="30"/>
          <w:lang w:val="en-US" w:eastAsia="zh-CN" w:bidi="ar-SA"/>
        </w:rPr>
        <w:t>2022年，我乡积极履职，强化管理，较好的完成了年度工作目标。通过加强预算收支管理，不断建立健全内部管理制度，梳理内部管理流程，整体支出管理水平得到提升，各项绩效指标均达到了预期效果。</w:t>
      </w:r>
    </w:p>
    <w:p>
      <w:pPr>
        <w:widowControl/>
        <w:wordWrap/>
        <w:adjustRightInd/>
        <w:snapToGrid/>
        <w:spacing w:before="0" w:line="600" w:lineRule="exact"/>
        <w:ind w:right="0" w:firstLine="640" w:firstLineChars="200"/>
        <w:jc w:val="left"/>
        <w:outlineLvl w:val="9"/>
        <w:rPr>
          <w:rFonts w:eastAsia="黑体"/>
          <w:sz w:val="32"/>
          <w:szCs w:val="32"/>
        </w:rPr>
      </w:pPr>
      <w:r>
        <w:rPr>
          <w:rFonts w:hint="eastAsia" w:eastAsia="黑体" w:cs="黑体"/>
          <w:sz w:val="32"/>
          <w:szCs w:val="32"/>
        </w:rPr>
        <w:t>七、存在的问题</w:t>
      </w:r>
      <w:bookmarkStart w:id="0" w:name="_GoBack"/>
      <w:bookmarkEnd w:id="0"/>
      <w:r>
        <w:rPr>
          <w:rFonts w:hint="eastAsia" w:eastAsia="黑体" w:cs="黑体"/>
          <w:sz w:val="32"/>
          <w:szCs w:val="32"/>
        </w:rPr>
        <w:t>及原因分析</w:t>
      </w:r>
    </w:p>
    <w:p>
      <w:pPr>
        <w:widowControl/>
        <w:wordWrap/>
        <w:adjustRightInd/>
        <w:snapToGrid/>
        <w:spacing w:before="0" w:line="600" w:lineRule="exact"/>
        <w:ind w:right="0" w:firstLine="600" w:firstLineChars="200"/>
        <w:outlineLvl w:val="9"/>
        <w:rPr>
          <w:rFonts w:hint="eastAsia" w:ascii="宋体" w:hAnsi="宋体" w:eastAsia="宋体" w:cs="宋体"/>
          <w:sz w:val="30"/>
          <w:szCs w:val="30"/>
        </w:rPr>
      </w:pPr>
      <w:r>
        <w:rPr>
          <w:rFonts w:hint="eastAsia" w:ascii="宋体" w:hAnsi="宋体" w:eastAsia="宋体" w:cs="宋体"/>
          <w:sz w:val="30"/>
          <w:szCs w:val="30"/>
        </w:rPr>
        <w:t>（一）存在的问题</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00" w:lineRule="exact"/>
        <w:ind w:left="0" w:right="0" w:firstLine="480"/>
        <w:jc w:val="both"/>
        <w:textAlignment w:val="auto"/>
        <w:outlineLvl w:val="9"/>
        <w:rPr>
          <w:rFonts w:hint="eastAsia" w:ascii="宋体" w:hAnsi="宋体" w:eastAsia="宋体" w:cs="宋体"/>
          <w:kern w:val="0"/>
          <w:sz w:val="30"/>
          <w:szCs w:val="30"/>
          <w:lang w:val="en-US" w:eastAsia="zh-CN" w:bidi="ar-SA"/>
        </w:rPr>
      </w:pPr>
      <w:r>
        <w:rPr>
          <w:rFonts w:hint="eastAsia" w:ascii="宋体" w:hAnsi="宋体" w:eastAsia="宋体" w:cs="宋体"/>
          <w:kern w:val="0"/>
          <w:sz w:val="30"/>
          <w:szCs w:val="30"/>
          <w:lang w:val="en-US" w:eastAsia="zh-CN" w:bidi="ar-SA"/>
        </w:rPr>
        <w:t>1.预算编制不够明确和细化，预算编制的合理性需要提高，预算执行力度还要进一步加强。</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00" w:lineRule="exact"/>
        <w:ind w:left="0" w:right="0" w:firstLine="48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0"/>
          <w:szCs w:val="30"/>
          <w:lang w:val="en-US" w:eastAsia="zh-CN" w:bidi="ar-SA"/>
        </w:rPr>
        <w:t>2.年末存量资金大，预算调整率高，部分资金未能按照预算及时使用。</w:t>
      </w:r>
    </w:p>
    <w:p>
      <w:pPr>
        <w:widowControl/>
        <w:wordWrap/>
        <w:adjustRightInd/>
        <w:snapToGrid/>
        <w:spacing w:before="0" w:line="600" w:lineRule="exact"/>
        <w:ind w:right="0" w:firstLine="640" w:firstLineChars="200"/>
        <w:jc w:val="left"/>
        <w:outlineLvl w:val="9"/>
        <w:rPr>
          <w:rFonts w:eastAsia="黑体"/>
          <w:sz w:val="32"/>
          <w:szCs w:val="32"/>
        </w:rPr>
      </w:pPr>
      <w:r>
        <w:rPr>
          <w:rFonts w:hint="eastAsia" w:eastAsia="黑体" w:cs="黑体"/>
          <w:sz w:val="32"/>
          <w:szCs w:val="32"/>
        </w:rPr>
        <w:t>八、下一步改进措施</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00" w:lineRule="exact"/>
        <w:ind w:left="0" w:right="0" w:firstLine="480"/>
        <w:jc w:val="both"/>
        <w:textAlignment w:val="auto"/>
        <w:outlineLvl w:val="9"/>
        <w:rPr>
          <w:rFonts w:hint="eastAsia" w:asciiTheme="minorEastAsia" w:hAnsiTheme="minorEastAsia" w:eastAsiaTheme="minorEastAsia" w:cstheme="minorEastAsia"/>
          <w:kern w:val="0"/>
          <w:sz w:val="30"/>
          <w:szCs w:val="30"/>
          <w:lang w:val="en-US" w:eastAsia="zh-CN" w:bidi="ar-SA"/>
        </w:rPr>
      </w:pPr>
      <w:r>
        <w:rPr>
          <w:rFonts w:hint="eastAsia" w:asciiTheme="minorEastAsia" w:hAnsiTheme="minorEastAsia" w:eastAsiaTheme="minorEastAsia" w:cstheme="minorEastAsia"/>
          <w:kern w:val="0"/>
          <w:sz w:val="30"/>
          <w:szCs w:val="30"/>
          <w:lang w:val="en-US" w:eastAsia="zh-CN" w:bidi="ar-SA"/>
        </w:rPr>
        <w:t>1.在制定年初各项任务目标时，根据实际情况，全方位考虑，灵活地制定相关工作计划，确保在年底能够按时按质完成各项任务。</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00" w:lineRule="exact"/>
        <w:ind w:left="0" w:right="0" w:firstLine="480"/>
        <w:jc w:val="both"/>
        <w:textAlignment w:val="auto"/>
        <w:outlineLvl w:val="9"/>
        <w:rPr>
          <w:rFonts w:hint="eastAsia" w:asciiTheme="minorEastAsia" w:hAnsiTheme="minorEastAsia" w:eastAsiaTheme="minorEastAsia" w:cstheme="minorEastAsia"/>
          <w:kern w:val="0"/>
          <w:sz w:val="30"/>
          <w:szCs w:val="30"/>
          <w:lang w:val="en-US" w:eastAsia="zh-CN" w:bidi="ar-SA"/>
        </w:rPr>
      </w:pPr>
      <w:r>
        <w:rPr>
          <w:rFonts w:hint="eastAsia" w:asciiTheme="minorEastAsia" w:hAnsiTheme="minorEastAsia" w:eastAsiaTheme="minorEastAsia" w:cstheme="minorEastAsia"/>
          <w:kern w:val="0"/>
          <w:sz w:val="30"/>
          <w:szCs w:val="30"/>
          <w:lang w:val="en-US" w:eastAsia="zh-CN" w:bidi="ar-SA"/>
        </w:rPr>
        <w:t>2.科学合理测算本单位年度收入、支出，提高预算科学性，在编制预算时结合上年决算及年度内单位可预见的工作任务据实编制，避免年初预算与实际执行出现大的偏差，提高预算控制水平。</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00" w:lineRule="exact"/>
        <w:ind w:left="0" w:right="0" w:firstLine="480"/>
        <w:jc w:val="both"/>
        <w:textAlignment w:val="auto"/>
        <w:outlineLvl w:val="9"/>
        <w:rPr>
          <w:rFonts w:hint="eastAsia" w:asciiTheme="minorEastAsia" w:hAnsiTheme="minorEastAsia" w:eastAsiaTheme="minorEastAsia" w:cstheme="minorEastAsia"/>
          <w:kern w:val="0"/>
          <w:sz w:val="30"/>
          <w:szCs w:val="30"/>
          <w:lang w:val="en-US" w:eastAsia="zh-CN" w:bidi="ar-SA"/>
        </w:rPr>
      </w:pPr>
      <w:r>
        <w:rPr>
          <w:rFonts w:hint="eastAsia" w:asciiTheme="minorEastAsia" w:hAnsiTheme="minorEastAsia" w:eastAsiaTheme="minorEastAsia" w:cstheme="minorEastAsia"/>
          <w:kern w:val="0"/>
          <w:sz w:val="30"/>
          <w:szCs w:val="30"/>
          <w:lang w:val="en-US" w:eastAsia="zh-CN" w:bidi="ar-SA"/>
        </w:rPr>
        <w:t>2.定期做好预算执行分析，及时了解预算执行差异，合理调整、纠正预算执行偏差，加快预算的执行进度，减少存量资金，切实提高预算完成率及资金使用效益。</w:t>
      </w:r>
    </w:p>
    <w:p>
      <w:pPr>
        <w:widowControl/>
        <w:wordWrap/>
        <w:adjustRightInd/>
        <w:snapToGrid/>
        <w:spacing w:before="0" w:line="600" w:lineRule="exact"/>
        <w:ind w:right="0" w:firstLine="645"/>
        <w:jc w:val="left"/>
        <w:outlineLvl w:val="9"/>
        <w:rPr>
          <w:rFonts w:eastAsia="黑体"/>
          <w:sz w:val="32"/>
          <w:szCs w:val="32"/>
        </w:rPr>
      </w:pPr>
      <w:r>
        <w:rPr>
          <w:rFonts w:hint="eastAsia" w:eastAsia="黑体" w:cs="黑体"/>
          <w:sz w:val="32"/>
          <w:szCs w:val="32"/>
        </w:rPr>
        <w:t>九、部门整体支出绩效自评结果拟应用和公开情况</w:t>
      </w:r>
    </w:p>
    <w:p>
      <w:pPr>
        <w:wordWrap/>
        <w:adjustRightInd/>
        <w:snapToGrid/>
        <w:spacing w:before="0" w:line="600" w:lineRule="exact"/>
        <w:ind w:right="0" w:firstLine="600" w:firstLineChars="200"/>
        <w:outlineLvl w:val="9"/>
        <w:rPr>
          <w:rFonts w:hint="eastAsia" w:asciiTheme="minorEastAsia" w:hAnsiTheme="minorEastAsia" w:eastAsiaTheme="minorEastAsia" w:cstheme="minorEastAsia"/>
          <w:kern w:val="0"/>
          <w:sz w:val="30"/>
          <w:szCs w:val="30"/>
          <w:lang w:val="en-US" w:eastAsia="zh-CN" w:bidi="ar-SA"/>
        </w:rPr>
      </w:pPr>
      <w:r>
        <w:rPr>
          <w:rFonts w:hint="eastAsia" w:asciiTheme="minorEastAsia" w:hAnsiTheme="minorEastAsia" w:eastAsiaTheme="minorEastAsia" w:cstheme="minorEastAsia"/>
          <w:kern w:val="0"/>
          <w:sz w:val="30"/>
          <w:szCs w:val="30"/>
          <w:lang w:val="en-US" w:eastAsia="zh-CN" w:bidi="ar-SA"/>
        </w:rPr>
        <w:t>根据市财政相关部门统一部署，我单位2022年部门整体支出绩效自评情况将在单位门户网站公开，接受社会监督。对绩效自评工作中发现的问题及时整改，解决好绩效评价管理中存在的问题，提高工作效能。根据部门整体支出绩效评价指标评分标准，2022年我单位部门整体绩效评价自评分为97分。</w:t>
      </w:r>
    </w:p>
    <w:p>
      <w:pPr>
        <w:widowControl/>
        <w:wordWrap/>
        <w:adjustRightInd/>
        <w:snapToGrid/>
        <w:spacing w:before="0" w:line="600" w:lineRule="exact"/>
        <w:ind w:right="0" w:firstLine="645"/>
        <w:jc w:val="left"/>
        <w:outlineLvl w:val="9"/>
        <w:rPr>
          <w:rFonts w:eastAsia="黑体"/>
          <w:sz w:val="32"/>
          <w:szCs w:val="32"/>
        </w:rPr>
      </w:pPr>
      <w:r>
        <w:rPr>
          <w:rFonts w:hint="eastAsia" w:eastAsia="黑体" w:cs="黑体"/>
          <w:sz w:val="32"/>
          <w:szCs w:val="32"/>
        </w:rPr>
        <w:t>十、其他需要说明的情况</w:t>
      </w:r>
    </w:p>
    <w:p>
      <w:pPr>
        <w:pStyle w:val="2"/>
        <w:wordWrap/>
        <w:adjustRightInd/>
        <w:snapToGrid/>
        <w:spacing w:before="0" w:line="600" w:lineRule="exact"/>
        <w:ind w:right="0"/>
        <w:outlineLvl w:val="9"/>
        <w:rPr>
          <w:rFonts w:hint="eastAsia" w:asciiTheme="minorEastAsia" w:hAnsiTheme="minorEastAsia" w:eastAsiaTheme="minorEastAsia" w:cstheme="minorEastAsia"/>
          <w:kern w:val="0"/>
          <w:sz w:val="30"/>
          <w:szCs w:val="30"/>
          <w:lang w:val="en-US" w:eastAsia="zh-CN" w:bidi="ar-SA"/>
        </w:rPr>
      </w:pPr>
      <w:r>
        <w:rPr>
          <w:rFonts w:hint="eastAsia"/>
          <w:sz w:val="30"/>
          <w:szCs w:val="30"/>
          <w:lang w:val="en-US" w:eastAsia="zh-CN"/>
        </w:rPr>
        <w:t xml:space="preserve">   </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kern w:val="0"/>
          <w:sz w:val="30"/>
          <w:szCs w:val="30"/>
          <w:lang w:val="en-US" w:eastAsia="zh-CN" w:bidi="ar-SA"/>
        </w:rPr>
        <w:t>无</w:t>
      </w:r>
    </w:p>
    <w:p>
      <w:pPr>
        <w:pStyle w:val="2"/>
        <w:wordWrap/>
        <w:adjustRightInd/>
        <w:snapToGrid/>
        <w:spacing w:before="0" w:line="600" w:lineRule="exact"/>
        <w:ind w:right="0"/>
        <w:outlineLvl w:val="9"/>
        <w:rPr>
          <w:rFonts w:hint="eastAsia" w:asciiTheme="minorEastAsia" w:hAnsiTheme="minorEastAsia" w:eastAsiaTheme="minorEastAsia" w:cstheme="minorEastAsia"/>
          <w:sz w:val="30"/>
          <w:szCs w:val="30"/>
        </w:rPr>
      </w:pPr>
    </w:p>
    <w:p>
      <w:pPr>
        <w:widowControl/>
        <w:wordWrap/>
        <w:adjustRightInd/>
        <w:snapToGrid/>
        <w:spacing w:before="0" w:line="600" w:lineRule="exact"/>
        <w:ind w:right="0" w:firstLine="645"/>
        <w:jc w:val="left"/>
        <w:outlineLvl w:val="9"/>
        <w:rPr>
          <w:rFonts w:hint="eastAsia" w:asciiTheme="minorEastAsia" w:hAnsiTheme="minorEastAsia" w:eastAsiaTheme="minorEastAsia" w:cstheme="minorEastAsia"/>
          <w:kern w:val="0"/>
          <w:sz w:val="30"/>
          <w:szCs w:val="30"/>
          <w:lang w:val="en-US" w:eastAsia="zh-CN" w:bidi="ar-SA"/>
        </w:rPr>
      </w:pPr>
      <w:r>
        <w:rPr>
          <w:rFonts w:hint="eastAsia" w:asciiTheme="minorEastAsia" w:hAnsiTheme="minorEastAsia" w:eastAsiaTheme="minorEastAsia" w:cstheme="minorEastAsia"/>
          <w:kern w:val="0"/>
          <w:sz w:val="30"/>
          <w:szCs w:val="30"/>
          <w:lang w:val="en-US" w:eastAsia="zh-CN" w:bidi="ar-SA"/>
        </w:rPr>
        <w:t>附件：</w:t>
      </w:r>
    </w:p>
    <w:p>
      <w:pPr>
        <w:widowControl/>
        <w:wordWrap/>
        <w:adjustRightInd/>
        <w:snapToGrid/>
        <w:spacing w:before="0" w:line="600" w:lineRule="exact"/>
        <w:ind w:right="0" w:firstLine="645"/>
        <w:jc w:val="left"/>
        <w:outlineLvl w:val="9"/>
        <w:rPr>
          <w:rFonts w:hint="eastAsia" w:asciiTheme="minorEastAsia" w:hAnsiTheme="minorEastAsia" w:eastAsiaTheme="minorEastAsia" w:cstheme="minorEastAsia"/>
          <w:kern w:val="0"/>
          <w:sz w:val="30"/>
          <w:szCs w:val="30"/>
          <w:lang w:val="en-US" w:eastAsia="zh-CN" w:bidi="ar-SA"/>
        </w:rPr>
      </w:pPr>
      <w:r>
        <w:rPr>
          <w:rFonts w:hint="eastAsia" w:asciiTheme="minorEastAsia" w:hAnsiTheme="minorEastAsia" w:eastAsiaTheme="minorEastAsia" w:cstheme="minorEastAsia"/>
          <w:kern w:val="0"/>
          <w:sz w:val="30"/>
          <w:szCs w:val="30"/>
          <w:lang w:val="en-US" w:eastAsia="zh-CN" w:bidi="ar-SA"/>
        </w:rPr>
        <w:t>1.部门整体支出绩效评价基础数据表</w:t>
      </w:r>
    </w:p>
    <w:p>
      <w:pPr>
        <w:widowControl/>
        <w:wordWrap/>
        <w:adjustRightInd/>
        <w:snapToGrid/>
        <w:spacing w:before="0" w:line="600" w:lineRule="exact"/>
        <w:ind w:right="0" w:firstLine="645"/>
        <w:jc w:val="left"/>
        <w:outlineLvl w:val="9"/>
        <w:rPr>
          <w:rFonts w:hint="eastAsia" w:asciiTheme="minorEastAsia" w:hAnsiTheme="minorEastAsia" w:eastAsiaTheme="minorEastAsia" w:cstheme="minorEastAsia"/>
          <w:kern w:val="0"/>
          <w:sz w:val="30"/>
          <w:szCs w:val="30"/>
          <w:lang w:val="en-US" w:eastAsia="zh-CN" w:bidi="ar-SA"/>
        </w:rPr>
      </w:pPr>
      <w:r>
        <w:rPr>
          <w:rFonts w:hint="eastAsia" w:asciiTheme="minorEastAsia" w:hAnsiTheme="minorEastAsia" w:eastAsiaTheme="minorEastAsia" w:cstheme="minorEastAsia"/>
          <w:kern w:val="0"/>
          <w:sz w:val="30"/>
          <w:szCs w:val="30"/>
          <w:lang w:val="en-US" w:eastAsia="zh-CN" w:bidi="ar-SA"/>
        </w:rPr>
        <w:t>2.部门整体支出绩效自评表</w:t>
      </w:r>
    </w:p>
    <w:p>
      <w:pPr>
        <w:widowControl/>
        <w:wordWrap/>
        <w:adjustRightInd/>
        <w:snapToGrid/>
        <w:spacing w:before="0" w:line="600" w:lineRule="exact"/>
        <w:ind w:right="0" w:firstLine="645"/>
        <w:jc w:val="left"/>
        <w:outlineLvl w:val="9"/>
        <w:rPr>
          <w:rFonts w:hint="eastAsia" w:asciiTheme="minorEastAsia" w:hAnsiTheme="minorEastAsia" w:eastAsiaTheme="minorEastAsia" w:cstheme="minorEastAsia"/>
          <w:kern w:val="0"/>
          <w:sz w:val="30"/>
          <w:szCs w:val="30"/>
          <w:lang w:val="en-US" w:eastAsia="zh-CN" w:bidi="ar-SA"/>
        </w:rPr>
      </w:pPr>
      <w:r>
        <w:rPr>
          <w:rFonts w:hint="eastAsia" w:asciiTheme="minorEastAsia" w:hAnsiTheme="minorEastAsia" w:eastAsiaTheme="minorEastAsia" w:cstheme="minorEastAsia"/>
          <w:kern w:val="0"/>
          <w:sz w:val="30"/>
          <w:szCs w:val="30"/>
          <w:lang w:val="en-US" w:eastAsia="zh-CN" w:bidi="ar-SA"/>
        </w:rPr>
        <w:t>3.项目支出绩效自评表</w:t>
      </w:r>
    </w:p>
    <w:p>
      <w:pPr>
        <w:wordWrap/>
        <w:adjustRightInd/>
        <w:snapToGrid/>
        <w:spacing w:before="0" w:line="600" w:lineRule="exact"/>
        <w:ind w:right="0"/>
        <w:outlineLvl w:val="9"/>
      </w:pPr>
    </w:p>
    <w:p>
      <w:pPr>
        <w:wordWrap/>
        <w:adjustRightInd/>
        <w:snapToGrid/>
        <w:spacing w:before="0" w:line="600" w:lineRule="exact"/>
        <w:ind w:right="0"/>
        <w:outlineLvl w:val="9"/>
        <w:rPr>
          <w:rFonts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_GBK">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E36D8"/>
    <w:multiLevelType w:val="singleLevel"/>
    <w:tmpl w:val="E77E36D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70713C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BodyText"/>
    <w:basedOn w:val="1"/>
    <w:qFormat/>
    <w:uiPriority w:val="99"/>
    <w:pPr>
      <w:spacing w:after="120"/>
      <w:textAlignment w:val="baseline"/>
    </w:pPr>
    <w:rPr>
      <w:rFonts w:eastAsia="宋体"/>
      <w:sz w:val="32"/>
      <w:szCs w:val="32"/>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Normal (Web)"/>
    <w:basedOn w:val="1"/>
    <w:semiHidden/>
    <w:unhideWhenUsed/>
    <w:qFormat/>
    <w:uiPriority w:val="0"/>
    <w:pPr>
      <w:spacing w:before="0" w:beforeAutospacing="1" w:after="0" w:afterAutospacing="1"/>
      <w:ind w:left="0" w:right="0"/>
      <w:jc w:val="left"/>
    </w:pPr>
    <w:rPr>
      <w:kern w:val="0"/>
      <w:sz w:val="24"/>
      <w:lang w:val="en-US" w:eastAsia="zh-CN"/>
    </w:rPr>
  </w:style>
  <w:style w:type="character" w:styleId="7">
    <w:name w:val="page number"/>
    <w:basedOn w:val="6"/>
    <w:qFormat/>
    <w:uiPriority w:val="99"/>
  </w:style>
  <w:style w:type="paragraph" w:customStyle="1" w:styleId="8">
    <w:name w:val="List Paragraph"/>
    <w:basedOn w:val="1"/>
    <w:qFormat/>
    <w:uiPriority w:val="99"/>
    <w:pPr>
      <w:ind w:firstLine="420" w:firstLineChars="200"/>
    </w:pPr>
    <w:rPr>
      <w:rFonts w:ascii="Calibri" w:hAnsi="Calibri" w:cs="Calibri"/>
    </w:rPr>
  </w:style>
  <w:style w:type="character" w:customStyle="1" w:styleId="9">
    <w:name w:val="Footer Char"/>
    <w:basedOn w:val="6"/>
    <w:link w:val="3"/>
    <w:semiHidden/>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天晟网络</Company>
  <Pages>7</Pages>
  <Words>2737</Words>
  <Characters>2896</Characters>
  <Lines>0</Lines>
  <Paragraphs>0</Paragraphs>
  <TotalTime>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2022-09-18T23:54:00Z</dcterms:created>
  <dc:creator>Administrator</dc:creator>
  <cp:lastModifiedBy>Administrator</cp:lastModifiedBy>
  <dcterms:modified xsi:type="dcterms:W3CDTF">2023-12-13T04:54:35Z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196174E4433C4B959BF07304D6A9950E</vt:lpwstr>
  </property>
</Properties>
</file>