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仿宋_GB2312" w:cs="Times New Roman"/>
          <w:kern w:val="0"/>
          <w:sz w:val="32"/>
          <w:szCs w:val="44"/>
        </w:rPr>
      </w:pPr>
    </w:p>
    <w:p>
      <w:pPr>
        <w:spacing w:line="600" w:lineRule="exact"/>
        <w:jc w:val="center"/>
        <w:rPr>
          <w:rFonts w:hint="eastAsia" w:ascii="方正小标宋简体" w:hAnsi="Times New Roman" w:eastAsia="方正小标宋简体" w:cs="Microsoft New Tai Lue"/>
          <w:kern w:val="0"/>
          <w:sz w:val="44"/>
          <w:szCs w:val="44"/>
        </w:rPr>
      </w:pPr>
      <w:r>
        <w:rPr>
          <w:rFonts w:hint="eastAsia" w:ascii="方正小标宋简体" w:hAnsi="Times New Roman" w:eastAsia="方正小标宋简体" w:cs="Microsoft New Tai Lue"/>
          <w:kern w:val="0"/>
          <w:sz w:val="44"/>
          <w:szCs w:val="44"/>
        </w:rPr>
        <w:t>2022年度桃源县疾病预防控制中心部门整体</w:t>
      </w:r>
    </w:p>
    <w:p>
      <w:pPr>
        <w:spacing w:line="600" w:lineRule="exact"/>
        <w:jc w:val="center"/>
        <w:rPr>
          <w:rFonts w:hint="eastAsia" w:ascii="方正小标宋简体" w:hAnsi="Times New Roman" w:eastAsia="方正小标宋简体" w:cs="宋体"/>
          <w:kern w:val="0"/>
          <w:sz w:val="44"/>
          <w:szCs w:val="44"/>
        </w:rPr>
      </w:pPr>
      <w:r>
        <w:rPr>
          <w:rFonts w:hint="eastAsia" w:ascii="方正小标宋简体" w:hAnsi="Times New Roman" w:eastAsia="方正小标宋简体" w:cs="Microsoft New Tai Lue"/>
          <w:kern w:val="0"/>
          <w:sz w:val="44"/>
          <w:szCs w:val="44"/>
        </w:rPr>
        <w:t>支出绩效自评报告</w:t>
      </w:r>
    </w:p>
    <w:p>
      <w:pPr>
        <w:widowControl/>
        <w:spacing w:line="600" w:lineRule="exact"/>
        <w:ind w:firstLine="640" w:firstLineChars="200"/>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（一）机构、人员构成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桃源县疾控中心属财政全额拨款的正科级事业单位，核定事业编制</w:t>
      </w:r>
      <w:r>
        <w:rPr>
          <w:rFonts w:hint="default" w:ascii="Times New Roman" w:hAnsi="Times New Roman" w:eastAsia="仿宋" w:cs="Times New Roman"/>
          <w:sz w:val="32"/>
          <w:szCs w:val="32"/>
        </w:rPr>
        <w:t>82</w:t>
      </w:r>
      <w:r>
        <w:rPr>
          <w:rFonts w:hint="eastAsia" w:ascii="仿宋" w:hAnsi="仿宋" w:eastAsia="仿宋" w:cs="仿宋"/>
          <w:sz w:val="32"/>
          <w:szCs w:val="32"/>
        </w:rPr>
        <w:t>人。</w:t>
      </w:r>
      <w:r>
        <w:rPr>
          <w:rFonts w:hint="default" w:ascii="Times New Roman" w:hAnsi="Times New Roman" w:eastAsia="仿宋" w:cs="Times New Roman"/>
          <w:sz w:val="32"/>
          <w:szCs w:val="32"/>
        </w:rPr>
        <w:t>2022</w:t>
      </w:r>
      <w:r>
        <w:rPr>
          <w:rFonts w:hint="eastAsia" w:ascii="仿宋" w:hAnsi="仿宋" w:eastAsia="仿宋" w:cs="仿宋"/>
          <w:sz w:val="32"/>
          <w:szCs w:val="32"/>
        </w:rPr>
        <w:t>年末，单位共有在职人员</w:t>
      </w:r>
      <w:r>
        <w:rPr>
          <w:rFonts w:hint="default" w:ascii="Times New Roman" w:hAnsi="Times New Roman" w:eastAsia="仿宋" w:cs="Times New Roman"/>
          <w:sz w:val="32"/>
          <w:szCs w:val="32"/>
        </w:rPr>
        <w:t>78</w:t>
      </w:r>
      <w:r>
        <w:rPr>
          <w:rFonts w:hint="eastAsia" w:ascii="仿宋" w:hAnsi="仿宋" w:eastAsia="仿宋" w:cs="仿宋"/>
          <w:sz w:val="32"/>
          <w:szCs w:val="32"/>
        </w:rPr>
        <w:t>人，其中在编在职</w:t>
      </w:r>
      <w:r>
        <w:rPr>
          <w:rFonts w:hint="default" w:ascii="Times New Roman" w:hAnsi="Times New Roman" w:eastAsia="仿宋" w:cs="Times New Roman"/>
          <w:sz w:val="32"/>
          <w:szCs w:val="32"/>
        </w:rPr>
        <w:t>77</w:t>
      </w:r>
      <w:r>
        <w:rPr>
          <w:rFonts w:hint="eastAsia" w:ascii="仿宋" w:hAnsi="仿宋" w:eastAsia="仿宋" w:cs="仿宋"/>
          <w:sz w:val="32"/>
          <w:szCs w:val="32"/>
        </w:rPr>
        <w:t>人，再就业援助</w:t>
      </w:r>
      <w:r>
        <w:rPr>
          <w:rFonts w:hint="default" w:ascii="Times New Roman" w:hAnsi="Times New Roman" w:eastAsia="仿宋" w:cs="Times New Roman"/>
          <w:sz w:val="32"/>
          <w:szCs w:val="32"/>
        </w:rPr>
        <w:t>1</w:t>
      </w:r>
      <w:r>
        <w:rPr>
          <w:rFonts w:hint="eastAsia" w:ascii="仿宋" w:hAnsi="仿宋" w:eastAsia="仿宋" w:cs="仿宋"/>
          <w:sz w:val="32"/>
          <w:szCs w:val="32"/>
        </w:rPr>
        <w:t>人，退休</w:t>
      </w:r>
      <w:r>
        <w:rPr>
          <w:rFonts w:hint="default" w:ascii="Times New Roman" w:hAnsi="Times New Roman" w:eastAsia="仿宋" w:cs="Times New Roman"/>
          <w:sz w:val="32"/>
          <w:szCs w:val="32"/>
        </w:rPr>
        <w:t>45</w:t>
      </w:r>
      <w:r>
        <w:rPr>
          <w:rFonts w:hint="eastAsia" w:ascii="仿宋" w:hAnsi="仿宋" w:eastAsia="仿宋" w:cs="仿宋"/>
          <w:sz w:val="32"/>
          <w:szCs w:val="32"/>
        </w:rPr>
        <w:t>人；下设科室</w:t>
      </w:r>
      <w:r>
        <w:rPr>
          <w:rFonts w:hint="default" w:ascii="Times New Roman" w:hAnsi="Times New Roman" w:eastAsia="仿宋" w:cs="Times New Roman"/>
          <w:sz w:val="32"/>
          <w:szCs w:val="32"/>
        </w:rPr>
        <w:t>13</w:t>
      </w:r>
      <w:r>
        <w:rPr>
          <w:rFonts w:hint="eastAsia" w:ascii="仿宋" w:hAnsi="仿宋" w:eastAsia="仿宋" w:cs="仿宋"/>
          <w:sz w:val="32"/>
          <w:szCs w:val="32"/>
        </w:rPr>
        <w:t>个：办公室、人事股、财务股、性艾科、免疫规划科、卫监科、质控科、结核病防控科、学卫慢病科、职业病防控科、检验科、传染病防控科、后勤科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（二）单位主要职责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cs="仿宋"/>
          <w:sz w:val="32"/>
          <w:szCs w:val="32"/>
        </w:rPr>
        <w:t>1</w:t>
      </w:r>
      <w:r>
        <w:rPr>
          <w:rFonts w:hint="eastAsia" w:ascii="Times New Roman" w:hAnsi="Times New Roman" w:eastAsia="仿宋_GB2312" w:cs="仿宋"/>
          <w:sz w:val="32"/>
          <w:szCs w:val="32"/>
          <w:lang w:eastAsia="zh-CN"/>
        </w:rPr>
        <w:t>.</w:t>
      </w:r>
      <w:r>
        <w:rPr>
          <w:rFonts w:hint="eastAsia" w:ascii="仿宋" w:hAnsi="仿宋" w:eastAsia="仿宋" w:cs="仿宋"/>
          <w:sz w:val="32"/>
          <w:szCs w:val="32"/>
        </w:rPr>
        <w:t>实施全县传染病、寄生虫病、地方病、慢性非传染性疾病的预防控制；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负责中毒事故、重大传染病等全县突发公共卫生事件的报告、预警、应急处置与评估；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负责疫情及健康相关因素信息管理；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负责健康危害因素监测与干预；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开展实验室检验检测与评价；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实施健康教育与健康促进；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进行疾病预防控制工作技术管理与应用研究指导；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承办县委、县政府及上级主管部门交办的其他事项。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仿宋"/>
          <w:sz w:val="32"/>
          <w:szCs w:val="32"/>
        </w:rPr>
      </w:pPr>
      <w:r>
        <w:rPr>
          <w:rFonts w:hint="eastAsia" w:ascii="楷体" w:hAnsi="楷体" w:eastAsia="楷体" w:cs="仿宋"/>
          <w:sz w:val="32"/>
          <w:szCs w:val="32"/>
        </w:rPr>
        <w:t>（</w:t>
      </w:r>
      <w:r>
        <w:rPr>
          <w:rFonts w:hint="eastAsia" w:ascii="楷体" w:hAnsi="楷体" w:eastAsia="楷体" w:cs="仿宋"/>
          <w:sz w:val="32"/>
          <w:szCs w:val="32"/>
          <w:lang w:eastAsia="zh-CN"/>
        </w:rPr>
        <w:t>三</w:t>
      </w:r>
      <w:r>
        <w:rPr>
          <w:rFonts w:hint="eastAsia" w:ascii="楷体" w:hAnsi="楷体" w:eastAsia="楷体" w:cs="仿宋"/>
          <w:sz w:val="32"/>
          <w:szCs w:val="32"/>
        </w:rPr>
        <w:t>）部门财务情况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单位资产负债情况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截止</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31</w:t>
      </w:r>
      <w:r>
        <w:rPr>
          <w:rFonts w:hint="eastAsia" w:ascii="仿宋" w:hAnsi="仿宋" w:eastAsia="仿宋" w:cs="仿宋"/>
          <w:sz w:val="32"/>
          <w:szCs w:val="32"/>
          <w:lang w:val="en-US" w:eastAsia="zh-CN"/>
        </w:rPr>
        <w:t>日资产总额</w:t>
      </w:r>
      <w:r>
        <w:rPr>
          <w:rFonts w:hint="default" w:ascii="Times New Roman" w:hAnsi="Times New Roman" w:eastAsia="仿宋" w:cs="Times New Roman"/>
          <w:sz w:val="32"/>
          <w:szCs w:val="32"/>
          <w:lang w:val="en-US" w:eastAsia="zh-CN"/>
        </w:rPr>
        <w:t>5330.14</w:t>
      </w:r>
      <w:r>
        <w:rPr>
          <w:rFonts w:hint="eastAsia" w:ascii="仿宋" w:hAnsi="仿宋" w:eastAsia="仿宋" w:cs="仿宋"/>
          <w:sz w:val="32"/>
          <w:szCs w:val="32"/>
          <w:lang w:val="en-US" w:eastAsia="zh-CN"/>
        </w:rPr>
        <w:t>万元，负债总额</w:t>
      </w:r>
      <w:r>
        <w:rPr>
          <w:rFonts w:hint="default" w:ascii="Times New Roman" w:hAnsi="Times New Roman" w:eastAsia="仿宋" w:cs="Times New Roman"/>
          <w:sz w:val="32"/>
          <w:szCs w:val="32"/>
          <w:lang w:val="en-US" w:eastAsia="zh-CN"/>
        </w:rPr>
        <w:t>2522.71</w:t>
      </w:r>
      <w:r>
        <w:rPr>
          <w:rFonts w:hint="eastAsia" w:ascii="仿宋" w:hAnsi="仿宋" w:eastAsia="仿宋" w:cs="仿宋"/>
          <w:sz w:val="32"/>
          <w:szCs w:val="32"/>
          <w:lang w:val="en-US" w:eastAsia="zh-CN"/>
        </w:rPr>
        <w:t>万元，净资产总额</w:t>
      </w:r>
      <w:r>
        <w:rPr>
          <w:rFonts w:hint="default" w:ascii="Times New Roman" w:hAnsi="Times New Roman" w:eastAsia="仿宋" w:cs="Times New Roman"/>
          <w:sz w:val="32"/>
          <w:szCs w:val="32"/>
          <w:lang w:val="en-US" w:eastAsia="zh-CN"/>
        </w:rPr>
        <w:t>2807.43</w:t>
      </w:r>
      <w:r>
        <w:rPr>
          <w:rFonts w:hint="eastAsia"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2.部门整体支出情况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本年支出合计 </w:t>
      </w:r>
      <w:r>
        <w:rPr>
          <w:rFonts w:hint="default" w:ascii="Times New Roman" w:hAnsi="Times New Roman" w:eastAsia="仿宋" w:cs="Times New Roman"/>
          <w:sz w:val="32"/>
          <w:szCs w:val="32"/>
        </w:rPr>
        <w:t>6430.54</w:t>
      </w:r>
      <w:r>
        <w:rPr>
          <w:rFonts w:hint="eastAsia" w:ascii="仿宋" w:hAnsi="仿宋" w:eastAsia="仿宋" w:cs="仿宋"/>
          <w:sz w:val="32"/>
          <w:szCs w:val="32"/>
        </w:rPr>
        <w:t>万元，基本支出</w:t>
      </w:r>
      <w:r>
        <w:rPr>
          <w:rFonts w:hint="default" w:ascii="Times New Roman" w:hAnsi="Times New Roman" w:eastAsia="仿宋" w:cs="Times New Roman"/>
          <w:sz w:val="32"/>
          <w:szCs w:val="32"/>
        </w:rPr>
        <w:t>1231.18</w:t>
      </w:r>
      <w:r>
        <w:rPr>
          <w:rFonts w:hint="eastAsia" w:ascii="仿宋" w:hAnsi="仿宋" w:eastAsia="仿宋" w:cs="仿宋"/>
          <w:sz w:val="32"/>
          <w:szCs w:val="32"/>
        </w:rPr>
        <w:t>万元，其中人员支出</w:t>
      </w:r>
      <w:r>
        <w:rPr>
          <w:rFonts w:hint="default" w:ascii="Times New Roman" w:hAnsi="Times New Roman" w:eastAsia="仿宋" w:cs="Times New Roman"/>
          <w:sz w:val="32"/>
          <w:szCs w:val="32"/>
        </w:rPr>
        <w:t>1131.45</w:t>
      </w:r>
      <w:r>
        <w:rPr>
          <w:rFonts w:hint="eastAsia" w:ascii="仿宋" w:hAnsi="仿宋" w:eastAsia="仿宋" w:cs="仿宋"/>
          <w:sz w:val="32"/>
          <w:szCs w:val="32"/>
        </w:rPr>
        <w:t>万元，日常公用支出</w:t>
      </w:r>
      <w:r>
        <w:rPr>
          <w:rFonts w:hint="default" w:ascii="Times New Roman" w:hAnsi="Times New Roman" w:eastAsia="仿宋" w:cs="Times New Roman"/>
          <w:sz w:val="32"/>
          <w:szCs w:val="32"/>
        </w:rPr>
        <w:t>54.01</w:t>
      </w:r>
      <w:r>
        <w:rPr>
          <w:rFonts w:hint="eastAsia" w:ascii="仿宋" w:hAnsi="仿宋" w:eastAsia="仿宋" w:cs="仿宋"/>
          <w:sz w:val="32"/>
          <w:szCs w:val="32"/>
        </w:rPr>
        <w:t>万元，对个人和家庭补助</w:t>
      </w:r>
      <w:r>
        <w:rPr>
          <w:rFonts w:hint="default" w:ascii="Times New Roman" w:hAnsi="Times New Roman" w:eastAsia="仿宋" w:cs="Times New Roman"/>
          <w:sz w:val="32"/>
          <w:szCs w:val="32"/>
        </w:rPr>
        <w:t>45.72</w:t>
      </w:r>
      <w:r>
        <w:rPr>
          <w:rFonts w:hint="eastAsia" w:ascii="仿宋" w:hAnsi="仿宋" w:eastAsia="仿宋" w:cs="仿宋"/>
          <w:sz w:val="32"/>
          <w:szCs w:val="32"/>
        </w:rPr>
        <w:t>万元。项目支出</w:t>
      </w:r>
      <w:r>
        <w:rPr>
          <w:rFonts w:hint="default" w:ascii="Times New Roman" w:hAnsi="Times New Roman" w:eastAsia="仿宋" w:cs="Times New Roman"/>
          <w:sz w:val="32"/>
          <w:szCs w:val="32"/>
        </w:rPr>
        <w:t>5199.36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3.部门预算收支决算情况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本年财政拨款 </w:t>
      </w:r>
      <w:r>
        <w:rPr>
          <w:rFonts w:hint="default" w:ascii="Times New Roman" w:hAnsi="Times New Roman" w:eastAsia="仿宋" w:cs="Times New Roman"/>
          <w:sz w:val="32"/>
          <w:szCs w:val="32"/>
        </w:rPr>
        <w:t>2769.92</w:t>
      </w:r>
      <w:r>
        <w:rPr>
          <w:rFonts w:hint="eastAsia" w:ascii="仿宋" w:hAnsi="仿宋" w:eastAsia="仿宋" w:cs="仿宋"/>
          <w:sz w:val="32"/>
          <w:szCs w:val="32"/>
        </w:rPr>
        <w:t xml:space="preserve">万元，事业收入 </w:t>
      </w:r>
      <w:r>
        <w:rPr>
          <w:rFonts w:hint="default" w:ascii="Times New Roman" w:hAnsi="Times New Roman" w:eastAsia="仿宋" w:cs="Times New Roman"/>
          <w:sz w:val="32"/>
          <w:szCs w:val="32"/>
        </w:rPr>
        <w:t>3478.19</w:t>
      </w:r>
      <w:r>
        <w:rPr>
          <w:rFonts w:hint="eastAsia" w:ascii="仿宋" w:hAnsi="仿宋" w:eastAsia="仿宋" w:cs="仿宋"/>
          <w:sz w:val="32"/>
          <w:szCs w:val="32"/>
        </w:rPr>
        <w:t>万元，其他收入</w:t>
      </w:r>
      <w:r>
        <w:rPr>
          <w:rFonts w:hint="default" w:ascii="Times New Roman" w:hAnsi="Times New Roman" w:eastAsia="仿宋" w:cs="Times New Roman"/>
          <w:sz w:val="32"/>
          <w:szCs w:val="32"/>
        </w:rPr>
        <w:t>95.38</w:t>
      </w:r>
      <w:r>
        <w:rPr>
          <w:rFonts w:hint="eastAsia" w:ascii="仿宋" w:hAnsi="仿宋" w:eastAsia="仿宋" w:cs="仿宋"/>
          <w:sz w:val="32"/>
          <w:szCs w:val="32"/>
        </w:rPr>
        <w:t>万元，本年总收入</w:t>
      </w:r>
      <w:r>
        <w:rPr>
          <w:rFonts w:hint="default" w:ascii="Times New Roman" w:hAnsi="Times New Roman" w:eastAsia="仿宋" w:cs="Times New Roman"/>
          <w:sz w:val="32"/>
          <w:szCs w:val="32"/>
        </w:rPr>
        <w:t>6343.49</w:t>
      </w:r>
      <w:r>
        <w:rPr>
          <w:rFonts w:hint="eastAsia" w:ascii="仿宋" w:hAnsi="仿宋" w:eastAsia="仿宋" w:cs="仿宋"/>
          <w:sz w:val="32"/>
          <w:szCs w:val="32"/>
        </w:rPr>
        <w:t>万元，上年结转</w:t>
      </w:r>
      <w:r>
        <w:rPr>
          <w:rFonts w:hint="default" w:ascii="Times New Roman" w:hAnsi="Times New Roman" w:eastAsia="仿宋" w:cs="Times New Roman"/>
          <w:sz w:val="32"/>
          <w:szCs w:val="32"/>
        </w:rPr>
        <w:t>87.05</w:t>
      </w:r>
      <w:r>
        <w:rPr>
          <w:rFonts w:hint="eastAsia" w:ascii="仿宋" w:hAnsi="仿宋" w:eastAsia="仿宋" w:cs="仿宋"/>
          <w:sz w:val="32"/>
          <w:szCs w:val="32"/>
        </w:rPr>
        <w:t>万元。本年支出合计</w:t>
      </w:r>
      <w:r>
        <w:rPr>
          <w:rFonts w:hint="default" w:ascii="Times New Roman" w:hAnsi="Times New Roman" w:eastAsia="仿宋" w:cs="Times New Roman"/>
          <w:sz w:val="32"/>
          <w:szCs w:val="32"/>
        </w:rPr>
        <w:t>6430.54</w:t>
      </w:r>
      <w:r>
        <w:rPr>
          <w:rFonts w:hint="eastAsia" w:ascii="仿宋" w:hAnsi="仿宋" w:eastAsia="仿宋" w:cs="仿宋"/>
          <w:sz w:val="32"/>
          <w:szCs w:val="32"/>
        </w:rPr>
        <w:t>万元，其中工资福利支出</w:t>
      </w:r>
      <w:r>
        <w:rPr>
          <w:rFonts w:hint="default" w:ascii="Times New Roman" w:hAnsi="Times New Roman" w:eastAsia="仿宋" w:cs="Times New Roman"/>
          <w:sz w:val="32"/>
          <w:szCs w:val="32"/>
        </w:rPr>
        <w:t>1138.04</w:t>
      </w:r>
      <w:r>
        <w:rPr>
          <w:rFonts w:hint="eastAsia" w:ascii="仿宋" w:hAnsi="仿宋" w:eastAsia="仿宋" w:cs="仿宋"/>
          <w:sz w:val="32"/>
          <w:szCs w:val="32"/>
        </w:rPr>
        <w:t>万元，商品和服务支出</w:t>
      </w:r>
      <w:r>
        <w:rPr>
          <w:rFonts w:hint="default" w:ascii="Times New Roman" w:hAnsi="Times New Roman" w:eastAsia="仿宋" w:cs="Times New Roman"/>
          <w:sz w:val="32"/>
          <w:szCs w:val="32"/>
        </w:rPr>
        <w:t>4524.27</w:t>
      </w:r>
      <w:r>
        <w:rPr>
          <w:rFonts w:hint="eastAsia" w:ascii="仿宋" w:hAnsi="仿宋" w:eastAsia="仿宋" w:cs="仿宋"/>
          <w:sz w:val="32"/>
          <w:szCs w:val="32"/>
        </w:rPr>
        <w:t>万元，对个人和家庭的补助</w:t>
      </w:r>
      <w:r>
        <w:rPr>
          <w:rFonts w:hint="default" w:ascii="Times New Roman" w:hAnsi="Times New Roman" w:eastAsia="仿宋" w:cs="Times New Roman"/>
          <w:sz w:val="32"/>
          <w:szCs w:val="32"/>
        </w:rPr>
        <w:t>49.09</w:t>
      </w:r>
      <w:r>
        <w:rPr>
          <w:rFonts w:hint="eastAsia" w:ascii="仿宋" w:hAnsi="仿宋" w:eastAsia="仿宋" w:cs="仿宋"/>
          <w:sz w:val="32"/>
          <w:szCs w:val="32"/>
        </w:rPr>
        <w:t>万元，其他资本性支出</w:t>
      </w:r>
      <w:r>
        <w:rPr>
          <w:rFonts w:hint="default" w:ascii="Times New Roman" w:hAnsi="Times New Roman" w:eastAsia="仿宋" w:cs="Times New Roman"/>
          <w:sz w:val="32"/>
          <w:szCs w:val="32"/>
        </w:rPr>
        <w:t>719.14</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4.“三公经费”支出使用和管理情况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招待费支出</w:t>
      </w:r>
      <w:r>
        <w:rPr>
          <w:rFonts w:hint="default" w:ascii="Times New Roman" w:hAnsi="Times New Roman" w:eastAsia="仿宋" w:cs="Times New Roman"/>
          <w:sz w:val="32"/>
          <w:szCs w:val="32"/>
        </w:rPr>
        <w:t>0.5</w:t>
      </w:r>
      <w:r>
        <w:rPr>
          <w:rFonts w:hint="eastAsia" w:ascii="仿宋" w:hAnsi="仿宋" w:eastAsia="仿宋" w:cs="仿宋"/>
          <w:sz w:val="32"/>
          <w:szCs w:val="32"/>
        </w:rPr>
        <w:t xml:space="preserve">万元，公务用车购置及运行维护费支出 </w:t>
      </w:r>
      <w:r>
        <w:rPr>
          <w:rFonts w:hint="default" w:ascii="Times New Roman" w:hAnsi="Times New Roman" w:eastAsia="仿宋" w:cs="Times New Roman"/>
          <w:sz w:val="32"/>
          <w:szCs w:val="32"/>
        </w:rPr>
        <w:t>12.44</w:t>
      </w:r>
      <w:r>
        <w:rPr>
          <w:rFonts w:hint="eastAsia" w:ascii="仿宋" w:hAnsi="仿宋" w:eastAsia="仿宋" w:cs="仿宋"/>
          <w:sz w:val="32"/>
          <w:szCs w:val="32"/>
        </w:rPr>
        <w:t>万元，因公出国出境支出</w:t>
      </w:r>
      <w:r>
        <w:rPr>
          <w:rFonts w:hint="default" w:ascii="Times New Roman" w:hAnsi="Times New Roman" w:eastAsia="仿宋" w:cs="Times New Roman"/>
          <w:sz w:val="32"/>
          <w:szCs w:val="32"/>
        </w:rPr>
        <w:t xml:space="preserve"> 0</w:t>
      </w:r>
      <w:r>
        <w:rPr>
          <w:rFonts w:hint="eastAsia" w:ascii="仿宋" w:hAnsi="仿宋" w:eastAsia="仿宋" w:cs="仿宋"/>
          <w:sz w:val="32"/>
          <w:szCs w:val="32"/>
        </w:rPr>
        <w:t>元。三公经费按规定使用，严格执行相关管理制度。</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2022年度</w:t>
      </w:r>
      <w:r>
        <w:rPr>
          <w:rFonts w:hint="eastAsia" w:ascii="黑体" w:hAnsi="黑体" w:eastAsia="黑体" w:cs="黑体"/>
          <w:sz w:val="32"/>
          <w:szCs w:val="32"/>
        </w:rPr>
        <w:t>部门绩效目标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w:t>
      </w:r>
      <w:r>
        <w:rPr>
          <w:rFonts w:hint="eastAsia" w:ascii="仿宋" w:hAnsi="仿宋" w:eastAsia="仿宋" w:cs="仿宋"/>
          <w:sz w:val="32"/>
          <w:szCs w:val="32"/>
        </w:rPr>
        <w:t>：</w:t>
      </w:r>
      <w:r>
        <w:rPr>
          <w:rFonts w:hint="eastAsia" w:ascii="仿宋" w:hAnsi="仿宋" w:eastAsia="仿宋" w:cs="仿宋"/>
          <w:sz w:val="32"/>
          <w:szCs w:val="32"/>
          <w:lang w:eastAsia="zh-CN"/>
        </w:rPr>
        <w:t>完成</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次</w:t>
      </w:r>
      <w:r>
        <w:rPr>
          <w:rFonts w:hint="eastAsia" w:ascii="仿宋" w:hAnsi="仿宋" w:eastAsia="仿宋" w:cs="仿宋"/>
          <w:sz w:val="32"/>
          <w:szCs w:val="32"/>
          <w:lang w:eastAsia="zh-CN"/>
        </w:rPr>
        <w:t>卫生健康宣传教育等活动，全年对医疗机构督导次数达</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次，保证全县各类疫苗接种总人次数</w:t>
      </w:r>
      <w:r>
        <w:rPr>
          <w:rFonts w:hint="default" w:ascii="Times New Roman" w:hAnsi="Times New Roman" w:eastAsia="仿宋" w:cs="Times New Roman"/>
          <w:sz w:val="32"/>
          <w:szCs w:val="32"/>
          <w:lang w:val="en-US" w:eastAsia="zh-CN"/>
        </w:rPr>
        <w:t>25</w:t>
      </w:r>
      <w:r>
        <w:rPr>
          <w:rFonts w:hint="eastAsia" w:ascii="仿宋" w:hAnsi="仿宋" w:eastAsia="仿宋" w:cs="仿宋"/>
          <w:sz w:val="32"/>
          <w:szCs w:val="32"/>
          <w:lang w:val="en-US" w:eastAsia="zh-CN"/>
        </w:rPr>
        <w:t>万人次以上，全年对农村集中式供水的饮用水卫生监测不少于</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次，对于常规监测重点传染性疾病人数不少于</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万人次。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2.质量指标：保证重大疫情控制</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扩散，儿童一类疫苗全程接种率大于</w:t>
      </w:r>
      <w:r>
        <w:rPr>
          <w:rFonts w:hint="default" w:ascii="Times New Roman" w:hAnsi="Times New Roman" w:eastAsia="仿宋" w:cs="Times New Roman"/>
          <w:sz w:val="32"/>
          <w:szCs w:val="32"/>
          <w:lang w:val="en-US" w:eastAsia="zh-CN"/>
        </w:rPr>
        <w:t>90%</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相关事件处理及时率</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，各种病毒感染者治疗率大于</w:t>
      </w:r>
      <w:r>
        <w:rPr>
          <w:rFonts w:hint="default" w:ascii="Times New Roman" w:hAnsi="Times New Roman" w:eastAsia="仿宋" w:cs="Times New Roman"/>
          <w:sz w:val="32"/>
          <w:szCs w:val="32"/>
          <w:lang w:val="en-US" w:eastAsia="zh-CN"/>
        </w:rPr>
        <w:t>85%</w:t>
      </w:r>
      <w:r>
        <w:rPr>
          <w:rFonts w:hint="eastAsia" w:ascii="仿宋" w:hAnsi="仿宋" w:eastAsia="仿宋" w:cs="仿宋"/>
          <w:sz w:val="32"/>
          <w:szCs w:val="32"/>
          <w:lang w:val="en-US" w:eastAsia="zh-CN"/>
        </w:rPr>
        <w:t>，健康教育宣传及培训开展覆盖率</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3.时效指标</w:t>
      </w:r>
      <w:r>
        <w:rPr>
          <w:rFonts w:hint="eastAsia" w:ascii="仿宋" w:hAnsi="仿宋" w:eastAsia="仿宋" w:cs="仿宋"/>
          <w:sz w:val="32"/>
          <w:szCs w:val="32"/>
        </w:rPr>
        <w:t>：任务完成及时率</w:t>
      </w:r>
      <w:r>
        <w:rPr>
          <w:rFonts w:hint="default" w:ascii="Times New Roman" w:hAnsi="Times New Roman" w:eastAsia="仿宋" w:cs="Times New Roman"/>
          <w:sz w:val="32"/>
          <w:szCs w:val="32"/>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4.成本指标</w:t>
      </w:r>
      <w:r>
        <w:rPr>
          <w:rFonts w:hint="eastAsia" w:ascii="仿宋" w:hAnsi="仿宋" w:eastAsia="仿宋" w:cs="仿宋"/>
          <w:sz w:val="32"/>
          <w:szCs w:val="32"/>
        </w:rPr>
        <w:t>：控制成本指标，确保成本控制在预算内，成本发生规范合理率为</w:t>
      </w:r>
      <w:r>
        <w:rPr>
          <w:rFonts w:hint="default" w:ascii="Times New Roman" w:hAnsi="Times New Roman" w:eastAsia="仿宋" w:cs="Times New Roman"/>
          <w:sz w:val="32"/>
          <w:szCs w:val="32"/>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5.效益指标</w:t>
      </w:r>
      <w:r>
        <w:rPr>
          <w:rFonts w:hint="eastAsia" w:ascii="仿宋" w:hAnsi="仿宋" w:eastAsia="仿宋" w:cs="仿宋"/>
          <w:sz w:val="32"/>
          <w:szCs w:val="32"/>
        </w:rPr>
        <w:t>：人民群众</w:t>
      </w:r>
      <w:r>
        <w:rPr>
          <w:rFonts w:hint="eastAsia" w:ascii="仿宋" w:hAnsi="仿宋" w:eastAsia="仿宋" w:cs="仿宋"/>
          <w:sz w:val="32"/>
          <w:szCs w:val="32"/>
          <w:lang w:eastAsia="zh-CN"/>
        </w:rPr>
        <w:t>卫生意识</w:t>
      </w:r>
      <w:r>
        <w:rPr>
          <w:rFonts w:hint="eastAsia" w:ascii="仿宋" w:hAnsi="仿宋" w:eastAsia="仿宋" w:cs="仿宋"/>
          <w:sz w:val="32"/>
          <w:szCs w:val="32"/>
        </w:rPr>
        <w:t>进一步提升，</w:t>
      </w:r>
      <w:r>
        <w:rPr>
          <w:rFonts w:hint="eastAsia" w:ascii="仿宋" w:hAnsi="仿宋" w:eastAsia="仿宋" w:cs="仿宋"/>
          <w:sz w:val="32"/>
          <w:szCs w:val="32"/>
          <w:lang w:eastAsia="zh-CN"/>
        </w:rPr>
        <w:t>保障对针对性疾病监测和防控</w:t>
      </w:r>
      <w:r>
        <w:rPr>
          <w:rFonts w:hint="eastAsia" w:ascii="仿宋" w:hAnsi="仿宋" w:eastAsia="仿宋" w:cs="仿宋"/>
          <w:sz w:val="32"/>
          <w:szCs w:val="32"/>
        </w:rPr>
        <w:t>，</w:t>
      </w:r>
      <w:r>
        <w:rPr>
          <w:rFonts w:hint="eastAsia" w:ascii="仿宋" w:hAnsi="仿宋" w:eastAsia="仿宋" w:cs="仿宋"/>
          <w:sz w:val="32"/>
          <w:szCs w:val="32"/>
          <w:lang w:eastAsia="zh-CN"/>
        </w:rPr>
        <w:t>控制重大传染性疾病的影响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
          <w:sz w:val="32"/>
          <w:szCs w:val="32"/>
        </w:rPr>
      </w:pPr>
      <w:r>
        <w:rPr>
          <w:rFonts w:hint="eastAsia" w:ascii="仿宋" w:hAnsi="仿宋" w:eastAsia="仿宋" w:cs="仿宋"/>
          <w:sz w:val="32"/>
          <w:szCs w:val="32"/>
          <w:lang w:val="en-US" w:eastAsia="zh-CN"/>
        </w:rPr>
        <w:t>6.满意度</w:t>
      </w:r>
      <w:r>
        <w:rPr>
          <w:rFonts w:hint="eastAsia" w:ascii="仿宋" w:hAnsi="仿宋" w:eastAsia="仿宋" w:cs="仿宋"/>
          <w:sz w:val="32"/>
          <w:szCs w:val="32"/>
          <w:lang w:eastAsia="zh-CN"/>
        </w:rPr>
        <w:t>：社会公众满意度达</w:t>
      </w:r>
      <w:r>
        <w:rPr>
          <w:rFonts w:hint="default"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w:t>
      </w:r>
      <w:r>
        <w:rPr>
          <w:rFonts w:hint="eastAsia" w:ascii="仿宋" w:hAnsi="仿宋" w:eastAsia="仿宋" w:cs="仿宋"/>
          <w:sz w:val="32"/>
          <w:szCs w:val="32"/>
        </w:rPr>
        <w:t>以上。</w:t>
      </w:r>
      <w:r>
        <w:rPr>
          <w:rFonts w:hint="eastAsia" w:ascii="Times New Roman" w:hAnsi="Times New Roman" w:eastAsia="仿宋_GB2312" w:cs="仿宋"/>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、绩效评价工作情况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通过对</w:t>
      </w:r>
      <w:r>
        <w:rPr>
          <w:rFonts w:hint="default" w:ascii="Times New Roman" w:hAnsi="Times New Roman" w:eastAsia="仿宋" w:cs="Times New Roman"/>
          <w:sz w:val="32"/>
          <w:szCs w:val="32"/>
        </w:rPr>
        <w:t>2022</w:t>
      </w:r>
      <w:r>
        <w:rPr>
          <w:rFonts w:hint="eastAsia" w:ascii="仿宋" w:hAnsi="仿宋" w:eastAsia="仿宋" w:cs="仿宋"/>
          <w:sz w:val="32"/>
          <w:szCs w:val="32"/>
        </w:rPr>
        <w:t>年疾控中心整体支出开展绩效评价，旨在对支出资金的使用效率、效果和效益进行综合评价，从而达到合配置财政资源和优化支出结构，实现财政项目资金投入产出的效益最大化。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（二）评价原则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1.客观公正原则</w:t>
      </w:r>
      <w:r>
        <w:rPr>
          <w:rFonts w:hint="eastAsia" w:ascii="仿宋" w:hAnsi="仿宋" w:eastAsia="仿宋" w:cs="仿宋"/>
          <w:sz w:val="32"/>
          <w:szCs w:val="32"/>
        </w:rPr>
        <w:t>。在项目评价中尊重客观规律，深入调查研究，不带主观随意性，讲求客观公正。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2.科学规范原则</w:t>
      </w:r>
      <w:r>
        <w:rPr>
          <w:rFonts w:hint="eastAsia" w:ascii="仿宋" w:hAnsi="仿宋" w:eastAsia="仿宋" w:cs="仿宋"/>
          <w:sz w:val="32"/>
          <w:szCs w:val="32"/>
        </w:rPr>
        <w:t>。把财政支出绩效理念贯穿于整个评价工作过程，按规定的程序、内容和要求对项目资金使用情况实施绩效评价，规范填报评价材料，并按照绩效指标体系进行定量和定性分析、准确反映项目资金支出的绩效水平和目标实现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3.实事求是原则</w:t>
      </w:r>
      <w:r>
        <w:rPr>
          <w:rFonts w:hint="eastAsia" w:ascii="仿宋" w:hAnsi="仿宋" w:eastAsia="仿宋" w:cs="仿宋"/>
          <w:sz w:val="32"/>
          <w:szCs w:val="32"/>
        </w:rPr>
        <w:t>。全面收集整理评价基础数据资料，实事求是的反映项目绩效目标及完成情况，项目存在的问题等内容，确保评价数据资料客观真实，符合项目实际情况和评价工作要求。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（三）评价过程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1.前期准备</w:t>
      </w:r>
      <w:r>
        <w:rPr>
          <w:rFonts w:hint="eastAsia" w:ascii="仿宋" w:hAnsi="仿宋" w:eastAsia="仿宋" w:cs="仿宋"/>
          <w:sz w:val="32"/>
          <w:szCs w:val="32"/>
        </w:rPr>
        <w:t>：以相关文件精神为工作部署，建立完善的绩效管理体系，于年初下发了工作方案，对资金进行严格管理。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2.组织实施</w:t>
      </w:r>
      <w:r>
        <w:rPr>
          <w:rFonts w:hint="eastAsia" w:ascii="仿宋" w:hAnsi="仿宋" w:eastAsia="仿宋" w:cs="仿宋"/>
          <w:sz w:val="32"/>
          <w:szCs w:val="32"/>
        </w:rPr>
        <w:t>：中心成立了项目管理领导小组，制定专项资金管理办法，确保专项经费专项支出。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
          <w:sz w:val="32"/>
          <w:szCs w:val="32"/>
        </w:rPr>
      </w:pPr>
      <w:r>
        <w:rPr>
          <w:rFonts w:hint="eastAsia" w:ascii="仿宋" w:hAnsi="仿宋" w:eastAsia="仿宋" w:cs="仿宋"/>
          <w:sz w:val="32"/>
          <w:szCs w:val="32"/>
          <w:lang w:val="en-US" w:eastAsia="zh-CN"/>
        </w:rPr>
        <w:t>3.分析评价</w:t>
      </w:r>
      <w:r>
        <w:rPr>
          <w:rFonts w:hint="eastAsia" w:ascii="仿宋" w:hAnsi="仿宋" w:eastAsia="仿宋" w:cs="仿宋"/>
          <w:sz w:val="32"/>
          <w:szCs w:val="32"/>
        </w:rPr>
        <w:t>：所有项目资金拨付及时到位，项目进展顺利，服务质量满意度</w:t>
      </w:r>
      <w:r>
        <w:rPr>
          <w:rFonts w:hint="default" w:ascii="Times New Roman" w:hAnsi="Times New Roman" w:eastAsia="仿宋" w:cs="Times New Roman"/>
          <w:sz w:val="32"/>
          <w:szCs w:val="32"/>
        </w:rPr>
        <w:t>95%</w:t>
      </w:r>
      <w:r>
        <w:rPr>
          <w:rFonts w:hint="eastAsia" w:ascii="仿宋" w:hAnsi="仿宋" w:eastAsia="仿宋" w:cs="仿宋"/>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、综合评价结果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
          <w:sz w:val="32"/>
          <w:szCs w:val="32"/>
        </w:rPr>
      </w:pPr>
      <w:r>
        <w:rPr>
          <w:rFonts w:hint="eastAsia" w:ascii="仿宋" w:hAnsi="仿宋" w:eastAsia="仿宋" w:cs="仿宋"/>
          <w:sz w:val="32"/>
          <w:szCs w:val="32"/>
        </w:rPr>
        <w:t>经综合评价，桃源县疾病预防控制中心</w:t>
      </w:r>
      <w:r>
        <w:rPr>
          <w:rFonts w:hint="default" w:ascii="Times New Roman" w:hAnsi="Times New Roman" w:eastAsia="仿宋" w:cs="Times New Roman"/>
          <w:sz w:val="32"/>
          <w:szCs w:val="32"/>
        </w:rPr>
        <w:t>2022</w:t>
      </w:r>
      <w:r>
        <w:rPr>
          <w:rFonts w:hint="eastAsia" w:ascii="仿宋" w:hAnsi="仿宋" w:eastAsia="仿宋" w:cs="仿宋"/>
          <w:sz w:val="32"/>
          <w:szCs w:val="32"/>
        </w:rPr>
        <w:t>年整体支出绩效评价指标得分</w:t>
      </w:r>
      <w:r>
        <w:rPr>
          <w:rFonts w:hint="default" w:ascii="Times New Roman" w:hAnsi="Times New Roman" w:eastAsia="仿宋" w:cs="Times New Roman"/>
          <w:sz w:val="32"/>
          <w:szCs w:val="32"/>
        </w:rPr>
        <w:t>96</w:t>
      </w:r>
      <w:r>
        <w:rPr>
          <w:rFonts w:hint="eastAsia" w:ascii="仿宋" w:hAnsi="仿宋" w:eastAsia="仿宋" w:cs="仿宋"/>
          <w:sz w:val="32"/>
          <w:szCs w:val="32"/>
        </w:rPr>
        <w:t>分，等级为：</w:t>
      </w:r>
      <w:r>
        <w:rPr>
          <w:rFonts w:hint="eastAsia" w:ascii="仿宋" w:hAnsi="仿宋" w:eastAsia="仿宋" w:cs="仿宋"/>
          <w:sz w:val="32"/>
          <w:szCs w:val="32"/>
          <w:lang w:eastAsia="zh-CN"/>
        </w:rPr>
        <w:t>优秀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w:t>
      </w:r>
      <w:r>
        <w:rPr>
          <w:rFonts w:hint="eastAsia" w:ascii="仿宋" w:hAnsi="仿宋" w:eastAsia="仿宋" w:cs="仿宋"/>
          <w:sz w:val="32"/>
          <w:szCs w:val="32"/>
        </w:rPr>
        <w:t>：</w:t>
      </w:r>
      <w:r>
        <w:rPr>
          <w:rFonts w:hint="eastAsia" w:ascii="仿宋" w:hAnsi="仿宋" w:eastAsia="仿宋" w:cs="仿宋"/>
          <w:sz w:val="32"/>
          <w:szCs w:val="32"/>
          <w:lang w:eastAsia="zh-CN"/>
        </w:rPr>
        <w:t>完成了</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次以上</w:t>
      </w:r>
      <w:r>
        <w:rPr>
          <w:rFonts w:hint="eastAsia" w:ascii="仿宋" w:hAnsi="仿宋" w:eastAsia="仿宋" w:cs="仿宋"/>
          <w:sz w:val="32"/>
          <w:szCs w:val="32"/>
          <w:lang w:eastAsia="zh-CN"/>
        </w:rPr>
        <w:t>卫生健康宣传，疾病预防教育等活动；全年对医疗机构督导培训次数不少于</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次；保证全县各类疫苗接种总人次数</w:t>
      </w:r>
      <w:r>
        <w:rPr>
          <w:rFonts w:hint="default" w:ascii="Times New Roman" w:hAnsi="Times New Roman" w:eastAsia="仿宋" w:cs="Times New Roman"/>
          <w:sz w:val="32"/>
          <w:szCs w:val="32"/>
          <w:lang w:val="en-US" w:eastAsia="zh-CN"/>
        </w:rPr>
        <w:t>25</w:t>
      </w:r>
      <w:r>
        <w:rPr>
          <w:rFonts w:hint="eastAsia" w:ascii="仿宋" w:hAnsi="仿宋" w:eastAsia="仿宋" w:cs="仿宋"/>
          <w:sz w:val="32"/>
          <w:szCs w:val="32"/>
          <w:lang w:val="en-US" w:eastAsia="zh-CN"/>
        </w:rPr>
        <w:t>万人次以上，全县截止</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31</w:t>
      </w:r>
      <w:r>
        <w:rPr>
          <w:rFonts w:hint="eastAsia" w:ascii="仿宋" w:hAnsi="仿宋" w:eastAsia="仿宋" w:cs="仿宋"/>
          <w:sz w:val="32"/>
          <w:szCs w:val="32"/>
          <w:lang w:val="en-US" w:eastAsia="zh-CN"/>
        </w:rPr>
        <w:t>日累计接种新冠疫苗</w:t>
      </w:r>
      <w:r>
        <w:rPr>
          <w:rFonts w:hint="default" w:ascii="Times New Roman" w:hAnsi="Times New Roman" w:eastAsia="仿宋" w:cs="Times New Roman"/>
          <w:sz w:val="32"/>
          <w:szCs w:val="32"/>
          <w:lang w:val="en-US" w:eastAsia="zh-CN"/>
        </w:rPr>
        <w:t>1668988</w:t>
      </w:r>
      <w:r>
        <w:rPr>
          <w:rFonts w:hint="eastAsia" w:ascii="仿宋" w:hAnsi="仿宋" w:eastAsia="仿宋" w:cs="仿宋"/>
          <w:sz w:val="32"/>
          <w:szCs w:val="32"/>
          <w:lang w:val="en-US" w:eastAsia="zh-CN"/>
        </w:rPr>
        <w:t>剂次，接种免疫规划疫苗</w:t>
      </w:r>
      <w:r>
        <w:rPr>
          <w:rFonts w:hint="default" w:ascii="Times New Roman" w:hAnsi="Times New Roman" w:eastAsia="仿宋" w:cs="Times New Roman"/>
          <w:sz w:val="32"/>
          <w:szCs w:val="32"/>
          <w:lang w:val="en-US" w:eastAsia="zh-CN"/>
        </w:rPr>
        <w:t>94385</w:t>
      </w:r>
      <w:r>
        <w:rPr>
          <w:rFonts w:hint="eastAsia" w:ascii="仿宋" w:hAnsi="仿宋" w:eastAsia="仿宋" w:cs="仿宋"/>
          <w:sz w:val="32"/>
          <w:szCs w:val="32"/>
          <w:lang w:val="en-US" w:eastAsia="zh-CN"/>
        </w:rPr>
        <w:t>剂次；全年对农村集中式供水的饮用水卫生监测，按季度采取水样不少于</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次，共采集检测饮用水样品数</w:t>
      </w:r>
      <w:r>
        <w:rPr>
          <w:rFonts w:hint="default" w:ascii="Times New Roman" w:hAnsi="Times New Roman" w:eastAsia="仿宋" w:cs="Times New Roman"/>
          <w:sz w:val="32"/>
          <w:szCs w:val="32"/>
          <w:lang w:val="en-US" w:eastAsia="zh-CN"/>
        </w:rPr>
        <w:t>727</w:t>
      </w:r>
      <w:r>
        <w:rPr>
          <w:rFonts w:hint="eastAsia" w:ascii="仿宋" w:hAnsi="仿宋" w:eastAsia="仿宋" w:cs="仿宋"/>
          <w:sz w:val="32"/>
          <w:szCs w:val="32"/>
          <w:lang w:val="en-US" w:eastAsia="zh-CN"/>
        </w:rPr>
        <w:t>份，合格样品数</w:t>
      </w:r>
      <w:r>
        <w:rPr>
          <w:rFonts w:hint="default" w:ascii="Times New Roman" w:hAnsi="Times New Roman" w:eastAsia="仿宋" w:cs="Times New Roman"/>
          <w:sz w:val="32"/>
          <w:szCs w:val="32"/>
          <w:lang w:val="en-US" w:eastAsia="zh-CN"/>
        </w:rPr>
        <w:t>637</w:t>
      </w:r>
      <w:r>
        <w:rPr>
          <w:rFonts w:hint="eastAsia" w:ascii="仿宋" w:hAnsi="仿宋" w:eastAsia="仿宋" w:cs="仿宋"/>
          <w:sz w:val="32"/>
          <w:szCs w:val="32"/>
          <w:lang w:val="en-US" w:eastAsia="zh-CN"/>
        </w:rPr>
        <w:t>份，样品合格率</w:t>
      </w:r>
      <w:r>
        <w:rPr>
          <w:rFonts w:hint="default" w:ascii="Times New Roman" w:hAnsi="Times New Roman" w:eastAsia="仿宋" w:cs="Times New Roman"/>
          <w:sz w:val="32"/>
          <w:szCs w:val="32"/>
          <w:lang w:val="en-US" w:eastAsia="zh-CN"/>
        </w:rPr>
        <w:t>87.62%</w:t>
      </w:r>
      <w:r>
        <w:rPr>
          <w:rFonts w:hint="eastAsia" w:ascii="仿宋" w:hAnsi="仿宋" w:eastAsia="仿宋" w:cs="仿宋"/>
          <w:sz w:val="32"/>
          <w:szCs w:val="32"/>
          <w:lang w:val="en-US" w:eastAsia="zh-CN"/>
        </w:rPr>
        <w:t>；对于常规监测重点传染性疾病人数不少于</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万人次，主要是针对新冠、霍乱、手足口病、狂犬病、登革热、艾滋病等重点传染病开展了监测，截止到</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31</w:t>
      </w:r>
      <w:r>
        <w:rPr>
          <w:rFonts w:hint="eastAsia" w:ascii="仿宋" w:hAnsi="仿宋" w:eastAsia="仿宋" w:cs="仿宋"/>
          <w:sz w:val="32"/>
          <w:szCs w:val="32"/>
          <w:lang w:val="en-US" w:eastAsia="zh-CN"/>
        </w:rPr>
        <w:t>日，全县共报告法定传染病</w:t>
      </w:r>
      <w:r>
        <w:rPr>
          <w:rFonts w:hint="default" w:ascii="Times New Roman" w:hAnsi="Times New Roman" w:eastAsia="仿宋" w:cs="Times New Roman"/>
          <w:sz w:val="32"/>
          <w:szCs w:val="32"/>
          <w:lang w:val="en-US" w:eastAsia="zh-CN"/>
        </w:rPr>
        <w:t>19</w:t>
      </w:r>
      <w:r>
        <w:rPr>
          <w:rFonts w:hint="eastAsia" w:ascii="仿宋" w:hAnsi="仿宋" w:eastAsia="仿宋" w:cs="仿宋"/>
          <w:sz w:val="32"/>
          <w:szCs w:val="32"/>
          <w:lang w:val="en-US" w:eastAsia="zh-CN"/>
        </w:rPr>
        <w:t>种</w:t>
      </w:r>
      <w:r>
        <w:rPr>
          <w:rFonts w:hint="default" w:ascii="Times New Roman" w:hAnsi="Times New Roman" w:eastAsia="仿宋" w:cs="Times New Roman"/>
          <w:sz w:val="32"/>
          <w:szCs w:val="32"/>
          <w:lang w:val="en-US" w:eastAsia="zh-CN"/>
        </w:rPr>
        <w:t>6546</w:t>
      </w:r>
      <w:r>
        <w:rPr>
          <w:rFonts w:hint="eastAsia" w:ascii="仿宋" w:hAnsi="仿宋" w:eastAsia="仿宋" w:cs="仿宋"/>
          <w:sz w:val="32"/>
          <w:szCs w:val="32"/>
          <w:lang w:val="en-US" w:eastAsia="zh-CN"/>
        </w:rPr>
        <w:t>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w:t>
      </w:r>
      <w:r>
        <w:rPr>
          <w:rFonts w:hint="eastAsia" w:ascii="仿宋" w:hAnsi="仿宋" w:eastAsia="仿宋" w:cs="仿宋"/>
          <w:sz w:val="32"/>
          <w:szCs w:val="32"/>
        </w:rPr>
        <w:t>：</w:t>
      </w:r>
      <w:r>
        <w:rPr>
          <w:rFonts w:hint="eastAsia" w:ascii="仿宋" w:hAnsi="仿宋" w:eastAsia="仿宋" w:cs="仿宋"/>
          <w:sz w:val="32"/>
          <w:szCs w:val="32"/>
          <w:lang w:eastAsia="zh-CN"/>
        </w:rPr>
        <w:t>保证重大疫情控制</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lang w:val="en-US" w:eastAsia="zh-CN"/>
        </w:rPr>
        <w:t>扩散，截止到</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31</w:t>
      </w:r>
      <w:r>
        <w:rPr>
          <w:rFonts w:hint="eastAsia" w:ascii="仿宋" w:hAnsi="仿宋" w:eastAsia="仿宋" w:cs="仿宋"/>
          <w:sz w:val="32"/>
          <w:szCs w:val="32"/>
          <w:lang w:val="en-US" w:eastAsia="zh-CN"/>
        </w:rPr>
        <w:t>日，通过传染病自动预警信息系统共处置预警信息</w:t>
      </w:r>
      <w:r>
        <w:rPr>
          <w:rFonts w:hint="default" w:ascii="Times New Roman" w:hAnsi="Times New Roman" w:eastAsia="仿宋" w:cs="Times New Roman"/>
          <w:sz w:val="32"/>
          <w:szCs w:val="32"/>
          <w:lang w:val="en-US" w:eastAsia="zh-CN"/>
        </w:rPr>
        <w:t>175</w:t>
      </w:r>
      <w:r>
        <w:rPr>
          <w:rFonts w:hint="eastAsia" w:ascii="仿宋" w:hAnsi="仿宋" w:eastAsia="仿宋" w:cs="仿宋"/>
          <w:sz w:val="32"/>
          <w:szCs w:val="32"/>
          <w:lang w:val="en-US" w:eastAsia="zh-CN"/>
        </w:rPr>
        <w:t>条，排除</w:t>
      </w:r>
      <w:r>
        <w:rPr>
          <w:rFonts w:hint="default" w:ascii="Times New Roman" w:hAnsi="Times New Roman" w:eastAsia="仿宋" w:cs="Times New Roman"/>
          <w:sz w:val="32"/>
          <w:szCs w:val="32"/>
          <w:lang w:val="en-US" w:eastAsia="zh-CN"/>
        </w:rPr>
        <w:t>115</w:t>
      </w:r>
      <w:r>
        <w:rPr>
          <w:rFonts w:hint="eastAsia" w:ascii="仿宋" w:hAnsi="仿宋" w:eastAsia="仿宋" w:cs="仿宋"/>
          <w:sz w:val="32"/>
          <w:szCs w:val="32"/>
          <w:lang w:val="en-US" w:eastAsia="zh-CN"/>
        </w:rPr>
        <w:t>起、处置</w:t>
      </w:r>
      <w:r>
        <w:rPr>
          <w:rFonts w:hint="default" w:ascii="Times New Roman" w:hAnsi="Times New Roman" w:eastAsia="仿宋" w:cs="Times New Roman"/>
          <w:sz w:val="32"/>
          <w:szCs w:val="32"/>
          <w:lang w:val="en-US" w:eastAsia="zh-CN"/>
        </w:rPr>
        <w:t>60</w:t>
      </w:r>
      <w:r>
        <w:rPr>
          <w:rFonts w:hint="eastAsia" w:ascii="仿宋" w:hAnsi="仿宋" w:eastAsia="仿宋" w:cs="仿宋"/>
          <w:sz w:val="32"/>
          <w:szCs w:val="32"/>
          <w:lang w:val="en-US" w:eastAsia="zh-CN"/>
        </w:rPr>
        <w:t>起疑似事件。；报告</w:t>
      </w: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起新型冠状病毒感染聚集性疫情，分别涉及</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人及</w:t>
      </w:r>
      <w:r>
        <w:rPr>
          <w:rFonts w:hint="default" w:ascii="Times New Roman" w:hAnsi="Times New Roman" w:eastAsia="仿宋" w:cs="Times New Roman"/>
          <w:sz w:val="32"/>
          <w:szCs w:val="32"/>
          <w:lang w:val="en-US" w:eastAsia="zh-CN"/>
        </w:rPr>
        <w:t>18</w:t>
      </w:r>
      <w:r>
        <w:rPr>
          <w:rFonts w:hint="eastAsia" w:ascii="仿宋" w:hAnsi="仿宋" w:eastAsia="仿宋" w:cs="仿宋"/>
          <w:sz w:val="32"/>
          <w:szCs w:val="32"/>
          <w:lang w:val="en-US" w:eastAsia="zh-CN"/>
        </w:rPr>
        <w:t>人，无重症及死亡病例；适龄儿童国家免疫规划疫苗接种率保持在</w:t>
      </w:r>
      <w:r>
        <w:rPr>
          <w:rFonts w:hint="default" w:ascii="Times New Roman" w:hAnsi="Times New Roman" w:eastAsia="仿宋" w:cs="Times New Roman"/>
          <w:sz w:val="32"/>
          <w:szCs w:val="32"/>
          <w:lang w:val="en-US" w:eastAsia="zh-CN"/>
        </w:rPr>
        <w:t>90%</w:t>
      </w:r>
      <w:r>
        <w:rPr>
          <w:rFonts w:hint="eastAsia" w:ascii="仿宋" w:hAnsi="仿宋" w:eastAsia="仿宋" w:cs="仿宋"/>
          <w:sz w:val="32"/>
          <w:szCs w:val="32"/>
          <w:lang w:val="en-US" w:eastAsia="zh-CN"/>
        </w:rPr>
        <w:t>以上，乙肝首针及时接种率保持在</w:t>
      </w:r>
      <w:r>
        <w:rPr>
          <w:rFonts w:hint="default" w:ascii="Times New Roman" w:hAnsi="Times New Roman" w:eastAsia="仿宋" w:cs="Times New Roman"/>
          <w:sz w:val="32"/>
          <w:szCs w:val="32"/>
          <w:lang w:val="en-US" w:eastAsia="zh-CN"/>
        </w:rPr>
        <w:t>90%</w:t>
      </w:r>
      <w:r>
        <w:rPr>
          <w:rFonts w:hint="eastAsia" w:ascii="仿宋" w:hAnsi="仿宋" w:eastAsia="仿宋" w:cs="仿宋"/>
          <w:sz w:val="32"/>
          <w:szCs w:val="32"/>
          <w:lang w:val="en-US" w:eastAsia="zh-CN"/>
        </w:rPr>
        <w:t>以上，含麻疹成分疫苗常规免疫2剂次接种率保持在</w:t>
      </w:r>
      <w:r>
        <w:rPr>
          <w:rFonts w:hint="default" w:ascii="Times New Roman" w:hAnsi="Times New Roman" w:eastAsia="仿宋" w:cs="Times New Roman"/>
          <w:sz w:val="32"/>
          <w:szCs w:val="32"/>
          <w:lang w:val="en-US" w:eastAsia="zh-CN"/>
        </w:rPr>
        <w:t>95%</w:t>
      </w:r>
      <w:r>
        <w:rPr>
          <w:rFonts w:hint="eastAsia" w:ascii="仿宋" w:hAnsi="仿宋" w:eastAsia="仿宋" w:cs="仿宋"/>
          <w:sz w:val="32"/>
          <w:szCs w:val="32"/>
          <w:lang w:val="en-US" w:eastAsia="zh-CN"/>
        </w:rPr>
        <w:t>以上；相关事件处理及时率</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，各种病毒感染者治疗率大于</w:t>
      </w:r>
      <w:r>
        <w:rPr>
          <w:rFonts w:hint="default" w:ascii="Times New Roman" w:hAnsi="Times New Roman" w:eastAsia="仿宋" w:cs="Times New Roman"/>
          <w:sz w:val="32"/>
          <w:szCs w:val="32"/>
          <w:lang w:val="en-US" w:eastAsia="zh-CN"/>
        </w:rPr>
        <w:t>85%</w:t>
      </w:r>
      <w:r>
        <w:rPr>
          <w:rFonts w:hint="eastAsia" w:ascii="仿宋" w:hAnsi="仿宋" w:eastAsia="仿宋" w:cs="仿宋"/>
          <w:sz w:val="32"/>
          <w:szCs w:val="32"/>
          <w:lang w:val="en-US" w:eastAsia="zh-CN"/>
        </w:rPr>
        <w:t>，健康教育宣传及培训开展覆盖率</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3.时效指标</w:t>
      </w:r>
      <w:r>
        <w:rPr>
          <w:rFonts w:hint="eastAsia" w:ascii="仿宋" w:hAnsi="仿宋" w:eastAsia="仿宋" w:cs="仿宋"/>
          <w:sz w:val="32"/>
          <w:szCs w:val="32"/>
        </w:rPr>
        <w:t>：任务完成及时率</w:t>
      </w:r>
      <w:r>
        <w:rPr>
          <w:rFonts w:hint="default" w:ascii="Times New Roman" w:hAnsi="Times New Roman" w:eastAsia="仿宋" w:cs="Times New Roman"/>
          <w:sz w:val="32"/>
          <w:szCs w:val="32"/>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4.成本指标</w:t>
      </w:r>
      <w:r>
        <w:rPr>
          <w:rFonts w:hint="eastAsia" w:ascii="仿宋" w:hAnsi="仿宋" w:eastAsia="仿宋" w:cs="仿宋"/>
          <w:sz w:val="32"/>
          <w:szCs w:val="32"/>
        </w:rPr>
        <w:t>：控制成本指标，确保成本控制在预算内，成本发生规范合理率为</w:t>
      </w:r>
      <w:r>
        <w:rPr>
          <w:rFonts w:hint="default" w:ascii="Times New Roman" w:hAnsi="Times New Roman" w:eastAsia="仿宋" w:cs="Times New Roman"/>
          <w:sz w:val="32"/>
          <w:szCs w:val="32"/>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5.效益指标</w:t>
      </w:r>
      <w:r>
        <w:rPr>
          <w:rFonts w:hint="eastAsia" w:ascii="仿宋" w:hAnsi="仿宋" w:eastAsia="仿宋" w:cs="仿宋"/>
          <w:sz w:val="32"/>
          <w:szCs w:val="32"/>
        </w:rPr>
        <w:t>：人民群众</w:t>
      </w:r>
      <w:r>
        <w:rPr>
          <w:rFonts w:hint="eastAsia" w:ascii="仿宋" w:hAnsi="仿宋" w:eastAsia="仿宋" w:cs="仿宋"/>
          <w:sz w:val="32"/>
          <w:szCs w:val="32"/>
          <w:lang w:eastAsia="zh-CN"/>
        </w:rPr>
        <w:t>卫生意识</w:t>
      </w:r>
      <w:r>
        <w:rPr>
          <w:rFonts w:hint="eastAsia" w:ascii="仿宋" w:hAnsi="仿宋" w:eastAsia="仿宋" w:cs="仿宋"/>
          <w:sz w:val="32"/>
          <w:szCs w:val="32"/>
        </w:rPr>
        <w:t>进一步提升，</w:t>
      </w:r>
      <w:r>
        <w:rPr>
          <w:rFonts w:hint="eastAsia" w:ascii="仿宋" w:hAnsi="仿宋" w:eastAsia="仿宋" w:cs="仿宋"/>
          <w:sz w:val="32"/>
          <w:szCs w:val="32"/>
          <w:lang w:eastAsia="zh-CN"/>
        </w:rPr>
        <w:t>保障对针对性疾病监测和防控</w:t>
      </w:r>
      <w:r>
        <w:rPr>
          <w:rFonts w:hint="eastAsia" w:ascii="仿宋" w:hAnsi="仿宋" w:eastAsia="仿宋" w:cs="仿宋"/>
          <w:sz w:val="32"/>
          <w:szCs w:val="32"/>
        </w:rPr>
        <w:t>，</w:t>
      </w:r>
      <w:r>
        <w:rPr>
          <w:rFonts w:hint="eastAsia" w:ascii="仿宋" w:hAnsi="仿宋" w:eastAsia="仿宋" w:cs="仿宋"/>
          <w:sz w:val="32"/>
          <w:szCs w:val="32"/>
          <w:lang w:eastAsia="zh-CN"/>
        </w:rPr>
        <w:t>控制重大传染性疾病的影响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6.满意度</w:t>
      </w:r>
      <w:r>
        <w:rPr>
          <w:rFonts w:hint="eastAsia" w:ascii="仿宋" w:hAnsi="仿宋" w:eastAsia="仿宋" w:cs="仿宋"/>
          <w:sz w:val="32"/>
          <w:szCs w:val="32"/>
        </w:rPr>
        <w:t>：社会公众满意度达</w:t>
      </w:r>
      <w:r>
        <w:rPr>
          <w:rFonts w:hint="default"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w:t>
      </w:r>
      <w:r>
        <w:rPr>
          <w:rFonts w:hint="eastAsia" w:ascii="仿宋" w:hAnsi="仿宋" w:eastAsia="仿宋" w:cs="仿宋"/>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、存在的主要问题及原因分析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1</w:t>
      </w:r>
      <w:r>
        <w:rPr>
          <w:rFonts w:hint="eastAsia" w:ascii="Times New Roman" w:hAnsi="Times New Roman" w:eastAsia="仿宋_GB2312" w:cs="仿宋"/>
          <w:sz w:val="32"/>
          <w:szCs w:val="32"/>
          <w:lang w:eastAsia="zh-CN"/>
        </w:rPr>
        <w:t>.</w:t>
      </w:r>
      <w:r>
        <w:rPr>
          <w:rFonts w:hint="eastAsia" w:ascii="仿宋" w:hAnsi="仿宋" w:eastAsia="仿宋" w:cs="仿宋"/>
          <w:sz w:val="32"/>
          <w:szCs w:val="32"/>
        </w:rPr>
        <w:t>项目实施的协调机制有待完善，项目实施资金不能及时到位，导致专项资金信息不对称。原因是：省级财政、卫健与市县级财政、卫健部门、项目单位之间缺少有效的信息共享机制，财政、卫健部门下达的资金计划和具体项目实施方案不能同时下达到项目实施单位，导致项目实施单位在资金使用上很难做到精准、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cs="仿宋"/>
          <w:sz w:val="32"/>
          <w:szCs w:val="32"/>
        </w:rPr>
        <w:t>2</w:t>
      </w:r>
      <w:r>
        <w:rPr>
          <w:rFonts w:hint="eastAsia" w:ascii="Times New Roman" w:hAnsi="Times New Roman" w:eastAsia="仿宋_GB2312" w:cs="仿宋"/>
          <w:sz w:val="32"/>
          <w:szCs w:val="32"/>
          <w:lang w:eastAsia="zh-CN"/>
        </w:rPr>
        <w:t>.</w:t>
      </w:r>
      <w:r>
        <w:rPr>
          <w:rFonts w:hint="eastAsia" w:ascii="仿宋" w:hAnsi="仿宋" w:eastAsia="仿宋" w:cs="仿宋"/>
          <w:sz w:val="32"/>
          <w:szCs w:val="32"/>
        </w:rPr>
        <w:t>部分专项资金用途、开支标准不明确。原因是：部分项目费用不能完全做到专款专用、分账核算，很难量化评价项目实施的效果。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仿宋"/>
          <w:sz w:val="32"/>
          <w:szCs w:val="32"/>
          <w:lang w:val="en-US" w:eastAsia="zh-CN"/>
        </w:rPr>
        <w:t>3.</w:t>
      </w:r>
      <w:r>
        <w:rPr>
          <w:rFonts w:hint="eastAsia" w:ascii="仿宋" w:hAnsi="仿宋" w:eastAsia="仿宋" w:cs="仿宋"/>
          <w:sz w:val="32"/>
          <w:szCs w:val="32"/>
          <w:lang w:val="en-US" w:eastAsia="zh-CN"/>
        </w:rPr>
        <w:t>资产管理未落实，单位未制订规范的固定资产、存货管理制度，2022年未对固定资产、存货进行一次清查盘点。原因是：财务资金管理制度不健全，未落实资产管理制度且在新冠防控形势下，全单位加入防控工作，从而忽略日常业务工作，工作不够严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4.</w:t>
      </w:r>
      <w:r>
        <w:rPr>
          <w:rFonts w:hint="eastAsia" w:ascii="仿宋" w:hAnsi="仿宋" w:eastAsia="仿宋" w:cs="仿宋"/>
          <w:sz w:val="32"/>
          <w:szCs w:val="32"/>
          <w:lang w:val="en-US" w:eastAsia="zh-CN"/>
        </w:rPr>
        <w:t>绩效目标编制不全面不合理，无新冠肺炎等传染病防控目标、食品安全监测目标、公共场所环境卫生监测目标，宣传及培训覆盖率100%目标值设置不符合实际情况等。原因是：在编制绩效目标表时，与相关科室缺乏沟通交流，未及时根据上级部门要求更新设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仿宋"/>
          <w:sz w:val="32"/>
          <w:szCs w:val="32"/>
        </w:rPr>
        <w:t>1</w:t>
      </w:r>
      <w:r>
        <w:rPr>
          <w:rFonts w:hint="eastAsia" w:ascii="Times New Roman" w:hAnsi="Times New Roman" w:eastAsia="仿宋_GB2312" w:cs="仿宋"/>
          <w:sz w:val="32"/>
          <w:szCs w:val="32"/>
          <w:lang w:eastAsia="zh-CN"/>
        </w:rPr>
        <w:t>.</w:t>
      </w:r>
      <w:r>
        <w:rPr>
          <w:rFonts w:hint="eastAsia" w:ascii="仿宋" w:hAnsi="仿宋" w:eastAsia="仿宋" w:cs="仿宋"/>
          <w:sz w:val="32"/>
          <w:szCs w:val="32"/>
          <w:lang w:val="en-US" w:eastAsia="zh-CN"/>
        </w:rPr>
        <w:t>完善项目的协调机制，及时申请拨付资金，保证专项资金的拨付能够与项目方案执行同步状态，确保项目单位业务工作的正常开展，做到精准、高效。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2</w:t>
      </w:r>
      <w:r>
        <w:rPr>
          <w:rFonts w:hint="eastAsia" w:ascii="Times New Roman" w:hAnsi="Times New Roman" w:eastAsia="仿宋_GB2312" w:cs="仿宋"/>
          <w:sz w:val="32"/>
          <w:szCs w:val="32"/>
          <w:lang w:eastAsia="zh-CN"/>
        </w:rPr>
        <w:t>.</w:t>
      </w:r>
      <w:r>
        <w:rPr>
          <w:rFonts w:hint="eastAsia" w:ascii="仿宋" w:hAnsi="仿宋" w:eastAsia="仿宋" w:cs="仿宋"/>
          <w:sz w:val="32"/>
          <w:szCs w:val="32"/>
          <w:lang w:val="en-US" w:eastAsia="zh-CN"/>
        </w:rPr>
        <w:t>加强项目管理。财政、卫健部门加强分工协作，明确监管重点，在保证资金、方案进度同步的基础上，强化对项目事前、事中、事后的全程监督检查，确保专项资金的专款专用。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仿宋"/>
          <w:sz w:val="32"/>
          <w:szCs w:val="32"/>
          <w:lang w:val="en-US" w:eastAsia="zh-CN"/>
        </w:rPr>
        <w:t>3.</w:t>
      </w:r>
      <w:r>
        <w:rPr>
          <w:rFonts w:hint="eastAsia" w:ascii="仿宋" w:hAnsi="仿宋" w:eastAsia="仿宋" w:cs="仿宋"/>
          <w:sz w:val="32"/>
          <w:szCs w:val="32"/>
          <w:lang w:val="en-US" w:eastAsia="zh-CN"/>
        </w:rPr>
        <w:t>由分管后勤副主任牵头，建立健全资金管理制度、固定资产、存货管理制度，并于每年对固定资产、存货进行一次清查盘点，同时认真学习贯彻落实《会计核算管理制度》，加强队伍专业人员建设，提高业务能力水平，加强内部监督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仿宋"/>
          <w:sz w:val="32"/>
          <w:szCs w:val="32"/>
          <w:lang w:val="en-US" w:eastAsia="zh-CN"/>
        </w:rPr>
        <w:t>4.</w:t>
      </w:r>
      <w:r>
        <w:rPr>
          <w:rFonts w:hint="eastAsia" w:ascii="Times New Roman" w:hAnsi="Times New Roman" w:eastAsia="仿宋_GB2312" w:cs="仿宋"/>
          <w:sz w:val="32"/>
          <w:szCs w:val="32"/>
        </w:rPr>
        <w:t xml:space="preserve"> </w:t>
      </w:r>
      <w:r>
        <w:rPr>
          <w:rFonts w:hint="eastAsia" w:ascii="仿宋" w:hAnsi="仿宋" w:eastAsia="仿宋" w:cs="仿宋"/>
          <w:sz w:val="32"/>
          <w:szCs w:val="32"/>
          <w:lang w:val="en-US" w:eastAsia="zh-CN"/>
        </w:rPr>
        <w:t>今后严格按要求进行预算，每年年底，由各科室根据上级有关要求及实际工作情况设置或调整绩效目标，再由财务科统一汇总，于年初编制项目及整体绩</w:t>
      </w:r>
      <w:bookmarkStart w:id="0" w:name="_GoBack"/>
      <w:bookmarkEnd w:id="0"/>
      <w:r>
        <w:rPr>
          <w:rFonts w:hint="eastAsia" w:ascii="仿宋" w:hAnsi="仿宋" w:eastAsia="仿宋" w:cs="仿宋"/>
          <w:sz w:val="32"/>
          <w:szCs w:val="32"/>
          <w:lang w:val="en-US" w:eastAsia="zh-CN"/>
        </w:rPr>
        <w:t>效目标评价表，并在每年内部控制审查时根据设定的绩效评价表进行评价。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eastAsia" w:ascii="仿宋" w:hAnsi="仿宋" w:eastAsia="仿宋" w:cs="仿宋"/>
          <w:sz w:val="32"/>
          <w:szCs w:val="32"/>
        </w:rPr>
      </w:pPr>
      <w:r>
        <w:rPr>
          <w:rFonts w:hint="eastAsia" w:ascii="仿宋" w:hAnsi="仿宋" w:eastAsia="仿宋" w:cs="仿宋"/>
          <w:sz w:val="32"/>
          <w:szCs w:val="32"/>
        </w:rPr>
        <w:t>桃源县疾病预防控制中心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2023年</w:t>
      </w:r>
      <w:r>
        <w:rPr>
          <w:rFonts w:hint="eastAsia" w:ascii="仿宋" w:hAnsi="仿宋" w:eastAsia="仿宋" w:cs="仿宋"/>
          <w:sz w:val="32"/>
          <w:szCs w:val="32"/>
          <w:lang w:val="en-US" w:eastAsia="zh-CN"/>
        </w:rPr>
        <w:t>11</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rPr>
          <w:sz w:val="32"/>
          <w:szCs w:val="32"/>
        </w:rPr>
      </w:pPr>
    </w:p>
    <w:p>
      <w:pPr>
        <w:rPr>
          <w:sz w:val="32"/>
          <w:szCs w:val="32"/>
        </w:rPr>
      </w:pPr>
    </w:p>
    <w:p>
      <w:pPr>
        <w:rPr>
          <w:sz w:val="32"/>
          <w:szCs w:val="32"/>
        </w:rPr>
      </w:pPr>
    </w:p>
    <w:p>
      <w:pPr>
        <w:rPr>
          <w:sz w:val="32"/>
          <w:szCs w:val="32"/>
        </w:rPr>
      </w:pPr>
    </w:p>
    <w:p>
      <w:pPr>
        <w:widowControl/>
        <w:spacing w:line="560" w:lineRule="exact"/>
        <w:ind w:firstLine="640"/>
        <w:rPr>
          <w:rFonts w:ascii="Times New Roman" w:hAnsi="Times New Roman" w:eastAsia="黑体" w:cs="Times New Roman"/>
          <w:sz w:val="32"/>
          <w:szCs w:val="32"/>
        </w:rPr>
      </w:pPr>
    </w:p>
    <w:tbl>
      <w:tblPr>
        <w:tblStyle w:val="1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tcMar>
              <w:top w:w="15" w:type="dxa"/>
              <w:left w:w="15" w:type="dxa"/>
              <w:right w:w="15" w:type="dxa"/>
            </w:tcMar>
            <w:vAlign w:val="center"/>
          </w:tcPr>
          <w:p>
            <w:pPr>
              <w:widowControl/>
              <w:spacing w:before="156" w:beforeLines="50" w:after="156" w:afterLines="50"/>
              <w:jc w:val="center"/>
              <w:rPr>
                <w:rFonts w:ascii="Times New Roman" w:hAnsi="Times New Roman" w:eastAsia="黑体" w:cs="Times New Roman"/>
                <w:bCs/>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一级</w:t>
            </w:r>
          </w:p>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二级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自评</w:t>
            </w:r>
          </w:p>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目标</w:t>
            </w:r>
          </w:p>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②符合部门职责，得1分；</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②通过清晰、可衡量的指标值予以体现，得2分；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③与部门年度的任务数或计划数相对应，得2分；</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hint="eastAsia" w:ascii="仿宋" w:hAnsi="仿宋" w:eastAsia="仿宋" w:cs="仿宋"/>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w:t>
            </w:r>
          </w:p>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在职人员控制率=（在职人员数/编制数）×100%。</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在职人员数：部门（单位）实际在职人数，以财政部门确定的部门决算编制口径为准。扣掉编制部门和劳动部门批复同意的临聘人员。</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在职人员控制率≤100%，得3分；</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“三公经费”变动率≤0，得5分；</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重点支出安排率=（重点项目支出/项目总支出）×100%。</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重点支出安排率≥90%，得5分；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80%（含）-90%，得4分；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70%（含）-80%，得3分；</w:t>
            </w:r>
          </w:p>
          <w:p>
            <w:pPr>
              <w:widowControl/>
              <w:spacing w:line="28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60%（含）-70%，得2分；</w:t>
            </w:r>
          </w:p>
          <w:p>
            <w:pPr>
              <w:widowControl/>
              <w:spacing w:line="28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w:t>
            </w:r>
          </w:p>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预算完成率≥95%，得4分；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预算调整率=（本年追加预算/年初预算）×100%。</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预算调整率≤5%，得2分；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5%-10%（含），得1.5分；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10%-15%（含），得1分；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15%-20%（含），得0.5分；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楼堂馆所面积控制率=实际建设面积/批准建设面积×100% 。</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楼堂馆所面积控制率≤100%，得2分；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每超出5%扣1分，扣完为止。</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该指标以2019年完工的新建楼堂馆所为评价内容。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楼堂馆所面积控制率≤100%，得2分；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每超出5%扣1分，扣完为止。</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公用经费控制率≤100%，得2分；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“三公经费”控制率≤100%，得2分；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政府采购执行率=100%，得2分；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预算</w:t>
            </w:r>
          </w:p>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②相关管理制度是否合法、合规、完整；</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②资金的拨付是否有完整的审批程序和手续；</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③项目的重大开支是否经过评估论证；</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④是否符合部门预算批复的用途；</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①是否按规定内容、规定时限公开预决算信息；</w:t>
            </w:r>
          </w:p>
          <w:p>
            <w:pPr>
              <w:widowControl/>
              <w:spacing w:line="300" w:lineRule="exact"/>
              <w:ind w:firstLine="240" w:firstLineChars="100"/>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①按规定内容、规定时限公开预决算信息，得1分；</w:t>
            </w:r>
          </w:p>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资产</w:t>
            </w:r>
          </w:p>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①资产保存完整、配置合理、处置规范，得0.5分；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实际在用固定资产总额与所有固定资产总额的比率，用以反映和考核部门（单位）固定资产使用效率程度。</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固定资产利用率=100%，得1分；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职责</w:t>
            </w:r>
          </w:p>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eastAsia" w:ascii="仿宋" w:hAnsi="仿宋" w:eastAsia="仿宋" w:cs="仿宋"/>
                <w:sz w:val="24"/>
                <w:szCs w:val="24"/>
              </w:rPr>
            </w:pPr>
            <w:r>
              <w:rPr>
                <w:rFonts w:hint="eastAsia" w:ascii="仿宋" w:hAnsi="仿宋" w:eastAsia="仿宋" w:cs="仿宋"/>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eastAsia" w:ascii="仿宋" w:hAnsi="仿宋" w:eastAsia="仿宋" w:cs="仿宋"/>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16</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履职</w:t>
            </w:r>
          </w:p>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eastAsia" w:ascii="仿宋" w:hAnsi="仿宋" w:eastAsia="仿宋" w:cs="仿宋"/>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eastAsia" w:ascii="仿宋" w:hAnsi="仿宋" w:eastAsia="仿宋" w:cs="仿宋"/>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hint="eastAsia" w:ascii="仿宋" w:hAnsi="仿宋" w:eastAsia="仿宋" w:cs="仿宋"/>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社会公众或部门（单位）的服务对象对部门履职效果的满意程度。</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≥90%，得5分；</w:t>
            </w:r>
          </w:p>
          <w:p>
            <w:pPr>
              <w:widowControl/>
              <w:spacing w:line="300" w:lineRule="exact"/>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96</w:t>
            </w:r>
          </w:p>
        </w:tc>
      </w:tr>
    </w:tbl>
    <w:p>
      <w:pPr>
        <w:widowControl/>
        <w:spacing w:line="600" w:lineRule="exact"/>
        <w:jc w:val="left"/>
        <w:rPr>
          <w:rFonts w:ascii="Times New Roman" w:hAnsi="Times New Roman" w:eastAsia="仿宋" w:cs="Times New Roman"/>
          <w:sz w:val="24"/>
          <w:szCs w:val="24"/>
        </w:rPr>
      </w:pPr>
    </w:p>
    <w:sectPr>
      <w:footerReference r:id="rId3" w:type="default"/>
      <w:footerReference r:id="rId4" w:type="even"/>
      <w:pgSz w:w="11906" w:h="16838"/>
      <w:pgMar w:top="2098" w:right="1474" w:bottom="1984" w:left="1587" w:header="0" w:footer="1587"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Microsoft New Tai Lue">
    <w:panose1 w:val="020B0502040204020203"/>
    <w:charset w:val="00"/>
    <w:family w:val="swiss"/>
    <w:pitch w:val="default"/>
    <w:sig w:usb0="00000003" w:usb1="00000000" w:usb2="8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TFkNWQ4YWQzNGJkOThjZTUzMGRhNTIxYjg0M2MifQ=="/>
  </w:docVars>
  <w:rsids>
    <w:rsidRoot w:val="007974AB"/>
    <w:rsid w:val="0000298E"/>
    <w:rsid w:val="00002AE4"/>
    <w:rsid w:val="00031747"/>
    <w:rsid w:val="0003456A"/>
    <w:rsid w:val="00037035"/>
    <w:rsid w:val="000469BA"/>
    <w:rsid w:val="000516DC"/>
    <w:rsid w:val="00053F71"/>
    <w:rsid w:val="000552F3"/>
    <w:rsid w:val="00056B04"/>
    <w:rsid w:val="00070B5F"/>
    <w:rsid w:val="00072AEB"/>
    <w:rsid w:val="000747B8"/>
    <w:rsid w:val="00075715"/>
    <w:rsid w:val="00083406"/>
    <w:rsid w:val="00085A99"/>
    <w:rsid w:val="00087EA5"/>
    <w:rsid w:val="00091B80"/>
    <w:rsid w:val="00092609"/>
    <w:rsid w:val="000A6E3A"/>
    <w:rsid w:val="000B1FC2"/>
    <w:rsid w:val="000D6179"/>
    <w:rsid w:val="000E240C"/>
    <w:rsid w:val="000E35F0"/>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2359"/>
    <w:rsid w:val="001D65E5"/>
    <w:rsid w:val="001D6602"/>
    <w:rsid w:val="001E4F39"/>
    <w:rsid w:val="001E5B80"/>
    <w:rsid w:val="001E6BFE"/>
    <w:rsid w:val="001F3794"/>
    <w:rsid w:val="001F6D73"/>
    <w:rsid w:val="00205440"/>
    <w:rsid w:val="002102DB"/>
    <w:rsid w:val="002129C1"/>
    <w:rsid w:val="00214D7C"/>
    <w:rsid w:val="00221B76"/>
    <w:rsid w:val="00222E30"/>
    <w:rsid w:val="00225256"/>
    <w:rsid w:val="002305A2"/>
    <w:rsid w:val="00231C6E"/>
    <w:rsid w:val="00232F9D"/>
    <w:rsid w:val="0023666C"/>
    <w:rsid w:val="002367FF"/>
    <w:rsid w:val="00243D27"/>
    <w:rsid w:val="00254482"/>
    <w:rsid w:val="00261A82"/>
    <w:rsid w:val="0026227A"/>
    <w:rsid w:val="00273F87"/>
    <w:rsid w:val="00286A75"/>
    <w:rsid w:val="00291511"/>
    <w:rsid w:val="00292E06"/>
    <w:rsid w:val="002A1611"/>
    <w:rsid w:val="002A336C"/>
    <w:rsid w:val="002A3ED2"/>
    <w:rsid w:val="002A4788"/>
    <w:rsid w:val="002B12CB"/>
    <w:rsid w:val="002B1E16"/>
    <w:rsid w:val="002B2BEF"/>
    <w:rsid w:val="002B778F"/>
    <w:rsid w:val="002C064D"/>
    <w:rsid w:val="002D6D4A"/>
    <w:rsid w:val="002E1DF4"/>
    <w:rsid w:val="002F0D08"/>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67A43"/>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27DA"/>
    <w:rsid w:val="004561C6"/>
    <w:rsid w:val="004621CC"/>
    <w:rsid w:val="00464073"/>
    <w:rsid w:val="00473D54"/>
    <w:rsid w:val="00477B78"/>
    <w:rsid w:val="00481926"/>
    <w:rsid w:val="00482DA2"/>
    <w:rsid w:val="00483F92"/>
    <w:rsid w:val="004948B2"/>
    <w:rsid w:val="00496F6D"/>
    <w:rsid w:val="004A0757"/>
    <w:rsid w:val="004B09F8"/>
    <w:rsid w:val="004B56B4"/>
    <w:rsid w:val="004C2AEE"/>
    <w:rsid w:val="004D5F90"/>
    <w:rsid w:val="004E1AF5"/>
    <w:rsid w:val="004E2593"/>
    <w:rsid w:val="004E394D"/>
    <w:rsid w:val="004E6E44"/>
    <w:rsid w:val="004F4E0C"/>
    <w:rsid w:val="004F53C1"/>
    <w:rsid w:val="00505F55"/>
    <w:rsid w:val="00507BC7"/>
    <w:rsid w:val="00510B86"/>
    <w:rsid w:val="00533A9D"/>
    <w:rsid w:val="00536A21"/>
    <w:rsid w:val="005377C3"/>
    <w:rsid w:val="00542882"/>
    <w:rsid w:val="005438D0"/>
    <w:rsid w:val="0054486C"/>
    <w:rsid w:val="005473E0"/>
    <w:rsid w:val="0055022D"/>
    <w:rsid w:val="00550C9A"/>
    <w:rsid w:val="00553BA4"/>
    <w:rsid w:val="0057789D"/>
    <w:rsid w:val="00585BED"/>
    <w:rsid w:val="00587C92"/>
    <w:rsid w:val="005916AB"/>
    <w:rsid w:val="00591928"/>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D0B0B"/>
    <w:rsid w:val="006D0B89"/>
    <w:rsid w:val="006E4E54"/>
    <w:rsid w:val="006F1419"/>
    <w:rsid w:val="00700CD4"/>
    <w:rsid w:val="00701DF4"/>
    <w:rsid w:val="00704174"/>
    <w:rsid w:val="00704536"/>
    <w:rsid w:val="0071201B"/>
    <w:rsid w:val="00717347"/>
    <w:rsid w:val="00723417"/>
    <w:rsid w:val="00726EB3"/>
    <w:rsid w:val="007349D4"/>
    <w:rsid w:val="00737891"/>
    <w:rsid w:val="00754120"/>
    <w:rsid w:val="00756B93"/>
    <w:rsid w:val="0076124E"/>
    <w:rsid w:val="007707CC"/>
    <w:rsid w:val="00770932"/>
    <w:rsid w:val="0077217D"/>
    <w:rsid w:val="00784182"/>
    <w:rsid w:val="00786728"/>
    <w:rsid w:val="00786A9F"/>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42A9"/>
    <w:rsid w:val="0084564C"/>
    <w:rsid w:val="00851F1E"/>
    <w:rsid w:val="008547F9"/>
    <w:rsid w:val="008662AB"/>
    <w:rsid w:val="00867DE4"/>
    <w:rsid w:val="00885497"/>
    <w:rsid w:val="008862A7"/>
    <w:rsid w:val="00892869"/>
    <w:rsid w:val="008B03AA"/>
    <w:rsid w:val="008B1FF5"/>
    <w:rsid w:val="008B33CC"/>
    <w:rsid w:val="008B3530"/>
    <w:rsid w:val="008B47AD"/>
    <w:rsid w:val="008D36D8"/>
    <w:rsid w:val="008D614F"/>
    <w:rsid w:val="008D7CE8"/>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16BE3"/>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82453"/>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1819"/>
    <w:rsid w:val="00BA21E0"/>
    <w:rsid w:val="00BA3557"/>
    <w:rsid w:val="00BB02A3"/>
    <w:rsid w:val="00BB7153"/>
    <w:rsid w:val="00BC70E4"/>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17F3C"/>
    <w:rsid w:val="00D204FD"/>
    <w:rsid w:val="00D258CC"/>
    <w:rsid w:val="00D33649"/>
    <w:rsid w:val="00D4312A"/>
    <w:rsid w:val="00D4564B"/>
    <w:rsid w:val="00D464D3"/>
    <w:rsid w:val="00D52EEC"/>
    <w:rsid w:val="00D55FCF"/>
    <w:rsid w:val="00D60B6C"/>
    <w:rsid w:val="00D62E84"/>
    <w:rsid w:val="00D640B0"/>
    <w:rsid w:val="00D65095"/>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F0324A"/>
    <w:rsid w:val="00F033A8"/>
    <w:rsid w:val="00F07FD8"/>
    <w:rsid w:val="00F15C5B"/>
    <w:rsid w:val="00F204D5"/>
    <w:rsid w:val="00F21B66"/>
    <w:rsid w:val="00F31077"/>
    <w:rsid w:val="00F3377F"/>
    <w:rsid w:val="00F34647"/>
    <w:rsid w:val="00F438FF"/>
    <w:rsid w:val="00F5082F"/>
    <w:rsid w:val="00F53D8C"/>
    <w:rsid w:val="00F5551B"/>
    <w:rsid w:val="00F55E48"/>
    <w:rsid w:val="00F62E20"/>
    <w:rsid w:val="00F631D3"/>
    <w:rsid w:val="00F647D2"/>
    <w:rsid w:val="00F64A66"/>
    <w:rsid w:val="00F67480"/>
    <w:rsid w:val="00F67A2E"/>
    <w:rsid w:val="00F7046B"/>
    <w:rsid w:val="00F71779"/>
    <w:rsid w:val="00F81E51"/>
    <w:rsid w:val="00F921CA"/>
    <w:rsid w:val="00F93C1A"/>
    <w:rsid w:val="00FA5A76"/>
    <w:rsid w:val="00FB0000"/>
    <w:rsid w:val="00FB5CB5"/>
    <w:rsid w:val="00FD03F6"/>
    <w:rsid w:val="00FD0E0D"/>
    <w:rsid w:val="00FD1260"/>
    <w:rsid w:val="00FD4154"/>
    <w:rsid w:val="00FD47E3"/>
    <w:rsid w:val="00FE15F4"/>
    <w:rsid w:val="00FE514A"/>
    <w:rsid w:val="00FF2FCA"/>
    <w:rsid w:val="00FF5CAC"/>
    <w:rsid w:val="02071BEC"/>
    <w:rsid w:val="02C774BE"/>
    <w:rsid w:val="051B0175"/>
    <w:rsid w:val="08787FAD"/>
    <w:rsid w:val="0A514680"/>
    <w:rsid w:val="0C762627"/>
    <w:rsid w:val="0D023860"/>
    <w:rsid w:val="0D990915"/>
    <w:rsid w:val="0E9E71BC"/>
    <w:rsid w:val="11F6593C"/>
    <w:rsid w:val="12A8228B"/>
    <w:rsid w:val="12DD0F9D"/>
    <w:rsid w:val="139422CA"/>
    <w:rsid w:val="146305B3"/>
    <w:rsid w:val="14B24C82"/>
    <w:rsid w:val="153B19EE"/>
    <w:rsid w:val="16BF171B"/>
    <w:rsid w:val="171E75EA"/>
    <w:rsid w:val="1A720B5E"/>
    <w:rsid w:val="1A9E4E53"/>
    <w:rsid w:val="1AC22C87"/>
    <w:rsid w:val="1DE87BFF"/>
    <w:rsid w:val="1F2F6521"/>
    <w:rsid w:val="1F903DBB"/>
    <w:rsid w:val="20845949"/>
    <w:rsid w:val="2238422A"/>
    <w:rsid w:val="23C95407"/>
    <w:rsid w:val="243C3641"/>
    <w:rsid w:val="261C458B"/>
    <w:rsid w:val="2AC801FE"/>
    <w:rsid w:val="2CC85A23"/>
    <w:rsid w:val="2D2D1A32"/>
    <w:rsid w:val="328D625E"/>
    <w:rsid w:val="32BB75D0"/>
    <w:rsid w:val="32DA043D"/>
    <w:rsid w:val="33E56358"/>
    <w:rsid w:val="34700528"/>
    <w:rsid w:val="35A127A0"/>
    <w:rsid w:val="37BB3233"/>
    <w:rsid w:val="3A3640F7"/>
    <w:rsid w:val="3AED2CDF"/>
    <w:rsid w:val="3D015CBA"/>
    <w:rsid w:val="3DB73326"/>
    <w:rsid w:val="3E7933BB"/>
    <w:rsid w:val="40DC3727"/>
    <w:rsid w:val="41EF685E"/>
    <w:rsid w:val="42070B9A"/>
    <w:rsid w:val="42765961"/>
    <w:rsid w:val="42864708"/>
    <w:rsid w:val="43257511"/>
    <w:rsid w:val="435B63EA"/>
    <w:rsid w:val="45114421"/>
    <w:rsid w:val="45E1533F"/>
    <w:rsid w:val="46BF0194"/>
    <w:rsid w:val="46D4291E"/>
    <w:rsid w:val="49AE5F49"/>
    <w:rsid w:val="4BDE5236"/>
    <w:rsid w:val="4C7706EA"/>
    <w:rsid w:val="4E1540E0"/>
    <w:rsid w:val="4FE362B3"/>
    <w:rsid w:val="506F7FDB"/>
    <w:rsid w:val="50B9760A"/>
    <w:rsid w:val="50DC676B"/>
    <w:rsid w:val="51217AE6"/>
    <w:rsid w:val="522838B8"/>
    <w:rsid w:val="551412E0"/>
    <w:rsid w:val="551500E9"/>
    <w:rsid w:val="55984B98"/>
    <w:rsid w:val="55BA2F55"/>
    <w:rsid w:val="55E91BC0"/>
    <w:rsid w:val="577D42A8"/>
    <w:rsid w:val="57C93873"/>
    <w:rsid w:val="58C438CB"/>
    <w:rsid w:val="58CB74D0"/>
    <w:rsid w:val="5AC55826"/>
    <w:rsid w:val="5B3A0CAE"/>
    <w:rsid w:val="5BCA3A1A"/>
    <w:rsid w:val="5C276A31"/>
    <w:rsid w:val="5D1E43BE"/>
    <w:rsid w:val="5DA93676"/>
    <w:rsid w:val="5E4865EB"/>
    <w:rsid w:val="5FA33E97"/>
    <w:rsid w:val="62024BE7"/>
    <w:rsid w:val="62573B81"/>
    <w:rsid w:val="627012F9"/>
    <w:rsid w:val="62A90727"/>
    <w:rsid w:val="643021F7"/>
    <w:rsid w:val="64B83E22"/>
    <w:rsid w:val="650571B1"/>
    <w:rsid w:val="65F95DAC"/>
    <w:rsid w:val="66FD39F4"/>
    <w:rsid w:val="673B332A"/>
    <w:rsid w:val="68700689"/>
    <w:rsid w:val="691D4401"/>
    <w:rsid w:val="69FE0702"/>
    <w:rsid w:val="6D7F6A3D"/>
    <w:rsid w:val="6DF5553B"/>
    <w:rsid w:val="6FA44D7D"/>
    <w:rsid w:val="6FC722F1"/>
    <w:rsid w:val="6FD241EE"/>
    <w:rsid w:val="74D42D8E"/>
    <w:rsid w:val="750820A4"/>
    <w:rsid w:val="76CF43DC"/>
    <w:rsid w:val="77776372"/>
    <w:rsid w:val="79B90234"/>
    <w:rsid w:val="7AE24714"/>
    <w:rsid w:val="7B5536B5"/>
    <w:rsid w:val="7D7065E1"/>
    <w:rsid w:val="7ED43428"/>
    <w:rsid w:val="7F01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3"/>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4"/>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5"/>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6"/>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7"/>
    <w:semiHidden/>
    <w:qFormat/>
    <w:uiPriority w:val="99"/>
    <w:pPr>
      <w:widowControl/>
      <w:jc w:val="left"/>
    </w:pPr>
    <w:rPr>
      <w:rFonts w:ascii="宋体" w:hAnsi="宋体" w:cs="宋体"/>
      <w:kern w:val="0"/>
      <w:sz w:val="24"/>
      <w:szCs w:val="24"/>
    </w:rPr>
  </w:style>
  <w:style w:type="paragraph" w:styleId="9">
    <w:name w:val="Plain Text"/>
    <w:basedOn w:val="1"/>
    <w:qFormat/>
    <w:uiPriority w:val="0"/>
    <w:rPr>
      <w:rFonts w:ascii="宋体" w:hAnsi="Courier New" w:cs="Times New Roman"/>
      <w:kern w:val="0"/>
      <w:sz w:val="20"/>
      <w:szCs w:val="20"/>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style>
  <w:style w:type="character" w:styleId="16">
    <w:name w:val="FollowedHyperlink"/>
    <w:basedOn w:val="14"/>
    <w:semiHidden/>
    <w:qFormat/>
    <w:uiPriority w:val="99"/>
    <w:rPr>
      <w:color w:val="auto"/>
      <w:u w:val="none"/>
    </w:rPr>
  </w:style>
  <w:style w:type="character" w:styleId="17">
    <w:name w:val="Emphasis"/>
    <w:basedOn w:val="14"/>
    <w:qFormat/>
    <w:uiPriority w:val="99"/>
  </w:style>
  <w:style w:type="character" w:styleId="18">
    <w:name w:val="Hyperlink"/>
    <w:basedOn w:val="14"/>
    <w:semiHidden/>
    <w:qFormat/>
    <w:uiPriority w:val="99"/>
    <w:rPr>
      <w:color w:val="auto"/>
      <w:u w:val="none"/>
    </w:rPr>
  </w:style>
  <w:style w:type="character" w:styleId="19">
    <w:name w:val="HTML Code"/>
    <w:basedOn w:val="14"/>
    <w:semiHidden/>
    <w:qFormat/>
    <w:uiPriority w:val="99"/>
    <w:rPr>
      <w:rFonts w:ascii="宋体" w:hAnsi="宋体" w:eastAsia="宋体" w:cs="宋体"/>
      <w:sz w:val="24"/>
      <w:szCs w:val="24"/>
    </w:rPr>
  </w:style>
  <w:style w:type="character" w:styleId="20">
    <w:name w:val="HTML Cite"/>
    <w:basedOn w:val="14"/>
    <w:semiHidden/>
    <w:qFormat/>
    <w:uiPriority w:val="99"/>
  </w:style>
  <w:style w:type="character" w:customStyle="1" w:styleId="21">
    <w:name w:val="标题 1 Char"/>
    <w:basedOn w:val="14"/>
    <w:link w:val="2"/>
    <w:qFormat/>
    <w:locked/>
    <w:uiPriority w:val="99"/>
    <w:rPr>
      <w:rFonts w:ascii="宋体" w:hAnsi="宋体" w:eastAsia="宋体" w:cs="宋体"/>
      <w:kern w:val="36"/>
      <w:sz w:val="48"/>
      <w:szCs w:val="48"/>
    </w:rPr>
  </w:style>
  <w:style w:type="character" w:customStyle="1" w:styleId="22">
    <w:name w:val="标题 2 Char"/>
    <w:basedOn w:val="14"/>
    <w:link w:val="3"/>
    <w:qFormat/>
    <w:locked/>
    <w:uiPriority w:val="99"/>
    <w:rPr>
      <w:rFonts w:ascii="宋体" w:hAnsi="宋体" w:eastAsia="宋体" w:cs="宋体"/>
      <w:kern w:val="0"/>
      <w:sz w:val="36"/>
      <w:szCs w:val="36"/>
    </w:rPr>
  </w:style>
  <w:style w:type="character" w:customStyle="1" w:styleId="23">
    <w:name w:val="标题 3 Char"/>
    <w:basedOn w:val="14"/>
    <w:link w:val="4"/>
    <w:qFormat/>
    <w:locked/>
    <w:uiPriority w:val="99"/>
    <w:rPr>
      <w:rFonts w:ascii="宋体" w:hAnsi="宋体" w:eastAsia="宋体" w:cs="宋体"/>
      <w:kern w:val="0"/>
      <w:sz w:val="27"/>
      <w:szCs w:val="27"/>
    </w:rPr>
  </w:style>
  <w:style w:type="character" w:customStyle="1" w:styleId="24">
    <w:name w:val="标题 4 Char"/>
    <w:basedOn w:val="14"/>
    <w:link w:val="5"/>
    <w:qFormat/>
    <w:locked/>
    <w:uiPriority w:val="99"/>
    <w:rPr>
      <w:rFonts w:ascii="宋体" w:hAnsi="宋体" w:eastAsia="宋体" w:cs="宋体"/>
      <w:kern w:val="0"/>
      <w:sz w:val="24"/>
      <w:szCs w:val="24"/>
    </w:rPr>
  </w:style>
  <w:style w:type="character" w:customStyle="1" w:styleId="25">
    <w:name w:val="标题 5 Char"/>
    <w:basedOn w:val="14"/>
    <w:link w:val="6"/>
    <w:qFormat/>
    <w:locked/>
    <w:uiPriority w:val="99"/>
    <w:rPr>
      <w:rFonts w:ascii="宋体" w:hAnsi="宋体" w:eastAsia="宋体" w:cs="宋体"/>
      <w:kern w:val="0"/>
      <w:sz w:val="20"/>
      <w:szCs w:val="20"/>
    </w:rPr>
  </w:style>
  <w:style w:type="character" w:customStyle="1" w:styleId="26">
    <w:name w:val="标题 6 Char"/>
    <w:basedOn w:val="14"/>
    <w:link w:val="7"/>
    <w:qFormat/>
    <w:locked/>
    <w:uiPriority w:val="99"/>
    <w:rPr>
      <w:rFonts w:ascii="宋体" w:hAnsi="宋体" w:eastAsia="宋体" w:cs="宋体"/>
      <w:kern w:val="0"/>
      <w:sz w:val="15"/>
      <w:szCs w:val="15"/>
    </w:rPr>
  </w:style>
  <w:style w:type="character" w:customStyle="1" w:styleId="27">
    <w:name w:val="HTML 地址 Char"/>
    <w:basedOn w:val="14"/>
    <w:link w:val="8"/>
    <w:semiHidden/>
    <w:qFormat/>
    <w:locked/>
    <w:uiPriority w:val="99"/>
    <w:rPr>
      <w:rFonts w:ascii="宋体" w:hAnsi="宋体" w:eastAsia="宋体" w:cs="宋体"/>
      <w:kern w:val="0"/>
      <w:sz w:val="24"/>
      <w:szCs w:val="24"/>
    </w:rPr>
  </w:style>
  <w:style w:type="character" w:customStyle="1" w:styleId="28">
    <w:name w:val="页脚 Char"/>
    <w:basedOn w:val="14"/>
    <w:link w:val="10"/>
    <w:qFormat/>
    <w:locked/>
    <w:uiPriority w:val="99"/>
    <w:rPr>
      <w:sz w:val="18"/>
      <w:szCs w:val="18"/>
    </w:rPr>
  </w:style>
  <w:style w:type="character" w:customStyle="1" w:styleId="29">
    <w:name w:val="页眉 Char"/>
    <w:basedOn w:val="14"/>
    <w:link w:val="11"/>
    <w:semiHidden/>
    <w:qFormat/>
    <w:locked/>
    <w:uiPriority w:val="99"/>
    <w:rPr>
      <w:sz w:val="18"/>
      <w:szCs w:val="18"/>
    </w:rPr>
  </w:style>
  <w:style w:type="character" w:customStyle="1" w:styleId="30">
    <w:name w:val="hj-easyread-speakerprocesser-position-action-icon"/>
    <w:basedOn w:val="14"/>
    <w:qFormat/>
    <w:uiPriority w:val="99"/>
  </w:style>
  <w:style w:type="character" w:customStyle="1" w:styleId="31">
    <w:name w:val="hj-easyread-speakerprocesser-position-action-icon1"/>
    <w:basedOn w:val="14"/>
    <w:qFormat/>
    <w:uiPriority w:val="99"/>
    <w:rPr>
      <w:shd w:val="clear" w:color="auto" w:fill="auto"/>
    </w:rPr>
  </w:style>
  <w:style w:type="paragraph" w:customStyle="1" w:styleId="32">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3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34">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35">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36">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7">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w9801"/>
    <w:basedOn w:val="1"/>
    <w:qFormat/>
    <w:uiPriority w:val="99"/>
    <w:pPr>
      <w:widowControl/>
      <w:jc w:val="left"/>
    </w:pPr>
    <w:rPr>
      <w:rFonts w:ascii="宋体" w:hAnsi="宋体" w:cs="宋体"/>
      <w:kern w:val="0"/>
      <w:sz w:val="24"/>
      <w:szCs w:val="24"/>
    </w:rPr>
  </w:style>
  <w:style w:type="paragraph" w:customStyle="1" w:styleId="39">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0">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4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56">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59">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61">
    <w:name w:val="列出段落1"/>
    <w:basedOn w:val="1"/>
    <w:qFormat/>
    <w:uiPriority w:val="99"/>
    <w:pPr>
      <w:ind w:firstLine="420" w:firstLineChars="200"/>
    </w:pPr>
  </w:style>
  <w:style w:type="paragraph" w:customStyle="1" w:styleId="62">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64">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65">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66">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67">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73">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5">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76">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78">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79">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80">
    <w:name w:val="search1"/>
    <w:basedOn w:val="1"/>
    <w:qFormat/>
    <w:uiPriority w:val="99"/>
    <w:pPr>
      <w:widowControl/>
      <w:spacing w:line="660" w:lineRule="atLeast"/>
      <w:jc w:val="left"/>
    </w:pPr>
    <w:rPr>
      <w:rFonts w:ascii="宋体" w:hAnsi="宋体" w:cs="宋体"/>
      <w:kern w:val="0"/>
      <w:sz w:val="24"/>
      <w:szCs w:val="24"/>
    </w:rPr>
  </w:style>
  <w:style w:type="paragraph" w:customStyle="1" w:styleId="81">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8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83">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8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8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94">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95">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98">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100">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105">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07">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112">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14">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117">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18">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120">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12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12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24">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12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127">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1716</Words>
  <Characters>9782</Characters>
  <Lines>81</Lines>
  <Paragraphs>22</Paragraphs>
  <TotalTime>57</TotalTime>
  <ScaleCrop>false</ScaleCrop>
  <LinksUpToDate>false</LinksUpToDate>
  <CharactersWithSpaces>11476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2023-12-05T08:36:00Z</dcterms:created>
  <dc:creator>ASUS</dc:creator>
  <cp:lastModifiedBy>苏</cp:lastModifiedBy>
  <cp:lastPrinted>2023-12-05T03:03:00Z</cp:lastPrinted>
  <dcterms:modified xsi:type="dcterms:W3CDTF">2023-12-19T01:27:23Z</dcterms:modified>
  <dc:title>2014年度常德市社会劳动保险处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F0ED27996A6F4386ABC5215FA368906B_13</vt:lpwstr>
  </property>
</Properties>
</file>