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马鬃岭镇人民政府部门决算</w:t>
      </w:r>
    </w:p>
    <w:p>
      <w:pPr>
        <w:pStyle w:val="10"/>
        <w:jc w:val="center"/>
        <w:rPr>
          <w:rFonts w:ascii="方正小标宋_GBK" w:hAnsi="方正小标宋_GBK" w:eastAsia="方正小标宋_GBK" w:cs="方正小标宋_GBK"/>
          <w:sz w:val="56"/>
          <w:szCs w:val="56"/>
        </w:rPr>
      </w:pPr>
    </w:p>
    <w:p>
      <w:pPr>
        <w:pStyle w:val="10"/>
        <w:jc w:val="center"/>
        <w:rPr>
          <w:rFonts w:hint="eastAsia"/>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Ansi="黑体"/>
          <w:bCs/>
          <w:sz w:val="28"/>
          <w:szCs w:val="28"/>
        </w:rPr>
      </w:pPr>
      <w:r>
        <w:rPr>
          <w:rFonts w:hint="eastAsia" w:hAnsi="黑体"/>
          <w:bCs/>
          <w:sz w:val="28"/>
          <w:szCs w:val="28"/>
        </w:rPr>
        <w:t>第一部分 马鬃岭镇人民政府概况</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Ansi="黑体"/>
          <w:bCs/>
          <w:sz w:val="28"/>
          <w:szCs w:val="28"/>
        </w:rPr>
      </w:pPr>
      <w:r>
        <w:rPr>
          <w:rFonts w:hint="eastAsia" w:hAnsi="黑体"/>
          <w:bCs/>
          <w:sz w:val="28"/>
          <w:szCs w:val="28"/>
        </w:rPr>
        <w:t>第二部分 部门决算表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Ansi="黑体"/>
          <w:bCs/>
          <w:sz w:val="28"/>
          <w:szCs w:val="28"/>
        </w:rPr>
      </w:pPr>
      <w:r>
        <w:rPr>
          <w:rFonts w:hint="eastAsia" w:hAnsi="黑体"/>
          <w:bCs/>
          <w:sz w:val="28"/>
          <w:szCs w:val="28"/>
        </w:rPr>
        <w:t>第三部分 部门决算情况说明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Ansi="黑体"/>
          <w:bCs/>
          <w:sz w:val="28"/>
          <w:szCs w:val="28"/>
        </w:rPr>
      </w:pPr>
      <w:r>
        <w:rPr>
          <w:rFonts w:hint="eastAsia" w:hAnsi="黑体"/>
          <w:bCs/>
          <w:sz w:val="28"/>
          <w:szCs w:val="28"/>
        </w:rPr>
        <w:t>第四部分 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马鬃岭镇人民政府概况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（一）执行本级人民代表大会的决议和上级国家行政机关的决定和命令，发布决定和命令；</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(二）执行本行政区域内的经济和社会发展计划和预算，管理本行政区域内的经济、教育、科学、文化、卫生、农林水、安全生产事业和财政、民政、公安、司法行政、计划生育等行政工作；</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(三）保护社会主义的全民所有的财产和劳动群众集体所有的财产，保护公民合法所有的私有财产，维护社会秩序，保障公民的人身权利、民主权利和其他权利；</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(四）保护各种经济组织的合法权益；保障少数民族的权力和尊重少数民族的风俗习惯；</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(五）完成县委、县政府和上级业务主管部门交办的其他工作。</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内设机构设置。桃源县马鬃岭镇人民政府内设机构包括：马鬃岭镇人民政府本级、马鬃岭镇社会事务综合服务中心、马鬃岭镇政务服务中心、马鬃岭镇农业综合服务中心、马鬃岭镇综合行政执法大队、马鬃岭镇退役军人服务站。</w:t>
      </w:r>
    </w:p>
    <w:p>
      <w:pPr>
        <w:pStyle w:val="5"/>
        <w:widowControl/>
        <w:shd w:val="clear" w:color="auto" w:fill="FFFFFF"/>
        <w:spacing w:beforeAutospacing="0" w:after="300" w:afterAutospacing="0" w:line="435" w:lineRule="atLeast"/>
        <w:ind w:firstLine="555"/>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决算单位构成。桃源县马鬃岭镇人民政府2022年部门决算汇总公开单位构成包括：马鬃岭镇本级以及马鬃岭镇社会事务综合服务中心、马鬃岭镇政务服务中心、马鬃岭镇农业综合服务中心、马鬃岭镇综合行政执法大队、马鬃岭镇退役军人服务站。 </w:t>
      </w:r>
    </w:p>
    <w:p>
      <w:pPr>
        <w:rPr>
          <w:rFonts w:ascii="黑体" w:hAnsi="黑体" w:eastAsia="黑体"/>
          <w:sz w:val="28"/>
          <w:szCs w:val="28"/>
        </w:rPr>
      </w:pPr>
    </w:p>
    <w:p>
      <w:pPr>
        <w:rPr>
          <w:sz w:val="72"/>
          <w:szCs w:val="72"/>
        </w:rPr>
      </w:pPr>
    </w:p>
    <w:p>
      <w:pPr>
        <w:jc w:val="center"/>
        <w:rPr>
          <w:sz w:val="72"/>
          <w:szCs w:val="72"/>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7"/>
        <w:gridCol w:w="1485"/>
        <w:gridCol w:w="2295"/>
        <w:gridCol w:w="4215"/>
        <w:gridCol w:w="1449"/>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87" w:type="dxa"/>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1485"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295"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215"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449"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39" w:type="dxa"/>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87" w:type="dxa"/>
            <w:tcBorders>
              <w:top w:val="nil"/>
              <w:left w:val="nil"/>
              <w:bottom w:val="single" w:color="000000" w:sz="4" w:space="0"/>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1485"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295"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215"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449"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39" w:type="dxa"/>
            <w:tcBorders>
              <w:top w:val="nil"/>
              <w:left w:val="nil"/>
              <w:bottom w:val="single" w:color="000000" w:sz="4" w:space="0"/>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50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9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2,174.79</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b/>
                <w:bCs/>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0"/>
                <w:szCs w:val="20"/>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0"/>
                <w:szCs w:val="20"/>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0"/>
                <w:szCs w:val="20"/>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2,271.99</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132.29</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8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2,404.28</w:t>
            </w:r>
          </w:p>
        </w:tc>
        <w:tc>
          <w:tcPr>
            <w:tcW w:w="421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449"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6"/>
            <w:tcBorders>
              <w:top w:val="single" w:color="000000" w:sz="4" w:space="0"/>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2.本套报表金额单位转换时可能存在尾数误差。</w:t>
            </w:r>
          </w:p>
        </w:tc>
      </w:tr>
    </w:tbl>
    <w:p>
      <w:pPr>
        <w:ind w:left="0" w:leftChars="0"/>
        <w:jc w:val="both"/>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5"/>
        <w:gridCol w:w="240"/>
        <w:gridCol w:w="244"/>
        <w:gridCol w:w="4793"/>
        <w:gridCol w:w="1199"/>
        <w:gridCol w:w="1199"/>
        <w:gridCol w:w="718"/>
        <w:gridCol w:w="718"/>
        <w:gridCol w:w="718"/>
        <w:gridCol w:w="719"/>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52"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3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52"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7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3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6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3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34"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34"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0"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4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2,271.99</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2,221.99</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742.93</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712.93</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其他政协事务支出</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603.93</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573.93</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574.73</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544.73</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2010599</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5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其他商贸事务支出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兵役征集</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2040219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强制隔离戒毒人员教育</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综合业务管理</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财政对城乡居民基本医疗保险基金的补助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其他优抚对象医疗支出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医疗保障经办事务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其他城市基础设施配套费安排的支出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382.99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170.96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306.44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306.44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其他制造业支出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地质矿产资源与环境调查</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single" w:color="000000" w:sz="4" w:space="0"/>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ind w:left="0" w:leftChars="0"/>
        <w:jc w:val="both"/>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0"/>
        <w:gridCol w:w="247"/>
        <w:gridCol w:w="250"/>
        <w:gridCol w:w="4947"/>
        <w:gridCol w:w="1240"/>
        <w:gridCol w:w="1240"/>
        <w:gridCol w:w="990"/>
        <w:gridCol w:w="740"/>
        <w:gridCol w:w="74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6"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7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83"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1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8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6"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7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83"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1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37"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8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3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8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8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8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83"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8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83"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1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8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2,404.28</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1,490.47</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913.81</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768.76</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733.76</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其他政协事务支出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628.37</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598.37</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598.67</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568.67</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2010599</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其他商贸事务支出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兵役征集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2040219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强制隔离戒毒人员教育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财政对城乡居民基本医疗保险基金的补助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其他优抚对象医疗支出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医疗保障经办事务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其他城市基础设施配套费安排的支出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408.38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其他制造业支出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地质矿产资源与环境调查</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58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ind w:left="0" w:leftChars="0"/>
        <w:jc w:val="both"/>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7"/>
        <w:gridCol w:w="579"/>
        <w:gridCol w:w="1452"/>
        <w:gridCol w:w="3709"/>
        <w:gridCol w:w="579"/>
        <w:gridCol w:w="1156"/>
        <w:gridCol w:w="1400"/>
        <w:gridCol w:w="106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9"/>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4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40" w:type="dxa"/>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132.29</w:t>
            </w:r>
          </w:p>
        </w:tc>
        <w:tc>
          <w:tcPr>
            <w:tcW w:w="0" w:type="auto"/>
            <w:tcBorders>
              <w:top w:val="nil"/>
              <w:left w:val="nil"/>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ind w:left="0" w:leftChars="0"/>
              <w:jc w:val="both"/>
              <w:rPr>
                <w:rFonts w:hint="eastAsia" w:ascii="宋体" w:hAnsi="宋体" w:eastAsia="宋体" w:cs="宋体"/>
                <w:i w:val="0"/>
                <w:iCs w:val="0"/>
                <w:color w:val="000000"/>
                <w:sz w:val="20"/>
                <w:szCs w:val="20"/>
                <w:u w:val="none"/>
              </w:rPr>
            </w:pPr>
          </w:p>
        </w:tc>
      </w:tr>
    </w:tbl>
    <w:p>
      <w:pPr>
        <w:ind w:left="0" w:leftChars="0"/>
        <w:jc w:val="both"/>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31"/>
        <w:gridCol w:w="294"/>
        <w:gridCol w:w="297"/>
        <w:gridCol w:w="5877"/>
        <w:gridCol w:w="1474"/>
        <w:gridCol w:w="1474"/>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91"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1"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6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3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8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7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9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8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881"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3"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881"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3"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6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6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2,307.08</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1,490.47</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738.76</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733.76</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其他政协事务支出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598.37</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598.37</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568.67</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568.67</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其他商贸事务支出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兵役征集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2040219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2040805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强制隔离戒毒人员教育</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综合业务管理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2080107</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财政对城乡居民基本医疗保险基金的补助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其他优抚对象医疗支出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医疗保障经办事务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408.38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411.95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105.36</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其他制造业支出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地质矿产资源与环境调查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188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47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18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ind w:left="0" w:leftChars="0"/>
        <w:jc w:val="both"/>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7"/>
        <w:gridCol w:w="2454"/>
        <w:gridCol w:w="949"/>
        <w:gridCol w:w="782"/>
        <w:gridCol w:w="1875"/>
        <w:gridCol w:w="765"/>
        <w:gridCol w:w="900"/>
        <w:gridCol w:w="3472"/>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57" w:type="dxa"/>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2454"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49"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82"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75"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472" w:type="dxa"/>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57" w:type="dxa"/>
            <w:tcBorders>
              <w:top w:val="nil"/>
              <w:left w:val="nil"/>
              <w:bottom w:val="single" w:color="000000" w:sz="4" w:space="0"/>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2454"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49"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82"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875"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765"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900"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472" w:type="dxa"/>
            <w:tcBorders>
              <w:top w:val="nil"/>
              <w:left w:val="nil"/>
              <w:bottom w:val="single" w:color="000000" w:sz="4" w:space="0"/>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267" w:type="dxa"/>
            <w:tcBorders>
              <w:top w:val="nil"/>
              <w:left w:val="nil"/>
              <w:bottom w:val="single" w:color="000000" w:sz="4" w:space="0"/>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61"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54"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2454"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347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692.42</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425.97</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210.47</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97.91</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80.78</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39.43</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75.91</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60.31</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27.33</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51.63</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64.18</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367.08</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311.13</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7"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2454"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79.92</w:t>
            </w:r>
          </w:p>
        </w:tc>
        <w:tc>
          <w:tcPr>
            <w:tcW w:w="900"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3472"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pPr>
              <w:ind w:left="0" w:leftChars="0"/>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11"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1,059.50</w:t>
            </w:r>
          </w:p>
        </w:tc>
        <w:tc>
          <w:tcPr>
            <w:tcW w:w="7794"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21" w:type="dxa"/>
            <w:gridSpan w:val="9"/>
            <w:tcBorders>
              <w:top w:val="single" w:color="000000" w:sz="4" w:space="0"/>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ind w:left="0" w:leftChars="0"/>
        <w:jc w:val="both"/>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7"/>
        <w:gridCol w:w="253"/>
        <w:gridCol w:w="253"/>
        <w:gridCol w:w="4775"/>
        <w:gridCol w:w="924"/>
        <w:gridCol w:w="1059"/>
        <w:gridCol w:w="1059"/>
        <w:gridCol w:w="924"/>
        <w:gridCol w:w="1062"/>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4"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2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104"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52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9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3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9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2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9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9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29"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96"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9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529"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296"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39"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593" w:type="pct"/>
            <w:vMerge w:val="continue"/>
            <w:tcBorders>
              <w:top w:val="single" w:color="000000" w:sz="4" w:space="0"/>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47.20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2121399</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其他城市基础设施配套费安排的支出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5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52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66"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52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ind w:left="0" w:leftChars="0"/>
        <w:jc w:val="both"/>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9"/>
        <w:gridCol w:w="434"/>
        <w:gridCol w:w="440"/>
        <w:gridCol w:w="2161"/>
        <w:gridCol w:w="1290"/>
        <w:gridCol w:w="2158"/>
        <w:gridCol w:w="3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02"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13"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020"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02"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1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413"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1020"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7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2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9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413"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020"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FFFFFF" w:fill="C0C0C0"/>
            <w:noWrap/>
            <w:vAlign w:val="center"/>
          </w:tcPr>
          <w:p>
            <w:pPr>
              <w:ind w:left="0" w:leftChars="0"/>
              <w:jc w:val="center"/>
              <w:rPr>
                <w:rFonts w:hint="eastAsia" w:ascii="宋体" w:hAnsi="宋体" w:eastAsia="宋体" w:cs="宋体"/>
                <w:i w:val="0"/>
                <w:iCs w:val="0"/>
                <w:color w:val="000000"/>
                <w:sz w:val="22"/>
                <w:szCs w:val="22"/>
                <w:u w:val="none"/>
              </w:rPr>
            </w:pPr>
          </w:p>
        </w:tc>
        <w:tc>
          <w:tcPr>
            <w:tcW w:w="413"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1020"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7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7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b/>
                <w:bCs/>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b/>
                <w:bCs/>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82" w:type="pct"/>
            <w:gridSpan w:val="3"/>
            <w:tcBorders>
              <w:top w:val="nil"/>
              <w:left w:val="single" w:color="000000" w:sz="4" w:space="0"/>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413"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c>
          <w:tcPr>
            <w:tcW w:w="1020" w:type="pct"/>
            <w:tcBorders>
              <w:top w:val="nil"/>
              <w:left w:val="nil"/>
              <w:bottom w:val="single" w:color="000000" w:sz="4" w:space="0"/>
              <w:right w:val="single" w:color="000000" w:sz="4" w:space="0"/>
            </w:tcBorders>
            <w:shd w:val="clear" w:color="auto" w:fill="auto"/>
            <w:noWrap/>
            <w:vAlign w:val="center"/>
          </w:tcPr>
          <w:p>
            <w:pPr>
              <w:ind w:left="0" w:leftChars="0"/>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ind w:left="0" w:leftChars="0"/>
        <w:jc w:val="center"/>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3"/>
        <w:gridCol w:w="1230"/>
        <w:gridCol w:w="956"/>
        <w:gridCol w:w="956"/>
        <w:gridCol w:w="959"/>
        <w:gridCol w:w="1099"/>
        <w:gridCol w:w="1093"/>
        <w:gridCol w:w="1230"/>
        <w:gridCol w:w="956"/>
        <w:gridCol w:w="956"/>
        <w:gridCol w:w="959"/>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ind w:left="0" w:leftChars="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7" w:type="pct"/>
            <w:tcBorders>
              <w:top w:val="nil"/>
              <w:left w:val="nil"/>
              <w:bottom w:val="nil"/>
              <w:right w:val="nil"/>
            </w:tcBorders>
            <w:shd w:val="clear" w:color="auto" w:fill="auto"/>
            <w:noWrap/>
            <w:vAlign w:val="bottom"/>
          </w:tcPr>
          <w:p>
            <w:pPr>
              <w:ind w:left="0" w:leftChars="0"/>
              <w:jc w:val="both"/>
              <w:rPr>
                <w:rFonts w:hint="eastAsia"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84"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7"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部门：桃源县马鬃岭镇人民政府</w:t>
            </w:r>
          </w:p>
        </w:tc>
        <w:tc>
          <w:tcPr>
            <w:tcW w:w="3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306" w:type="pct"/>
            <w:tcBorders>
              <w:top w:val="nil"/>
              <w:left w:val="nil"/>
              <w:bottom w:val="nil"/>
              <w:right w:val="nil"/>
            </w:tcBorders>
            <w:shd w:val="clear" w:color="auto" w:fill="auto"/>
            <w:noWrap/>
            <w:vAlign w:val="bottom"/>
          </w:tcPr>
          <w:p>
            <w:pPr>
              <w:ind w:left="0" w:leftChars="0"/>
              <w:jc w:val="both"/>
              <w:rPr>
                <w:rFonts w:hint="default" w:ascii="Arial" w:hAnsi="Arial" w:cs="Arial"/>
                <w:i w:val="0"/>
                <w:iCs w:val="0"/>
                <w:color w:val="000000"/>
                <w:sz w:val="20"/>
                <w:szCs w:val="20"/>
                <w:u w:val="none"/>
              </w:rPr>
            </w:pPr>
          </w:p>
        </w:tc>
        <w:tc>
          <w:tcPr>
            <w:tcW w:w="584" w:type="pct"/>
            <w:tcBorders>
              <w:top w:val="nil"/>
              <w:left w:val="nil"/>
              <w:bottom w:val="nil"/>
              <w:right w:val="nil"/>
            </w:tcBorders>
            <w:shd w:val="clear" w:color="auto" w:fill="auto"/>
            <w:noWrap/>
            <w:vAlign w:val="bottom"/>
          </w:tcPr>
          <w:p>
            <w:pPr>
              <w:keepNext w:val="0"/>
              <w:keepLines w:val="0"/>
              <w:widowControl/>
              <w:suppressLineNumbers w:val="0"/>
              <w:ind w:left="0" w:left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5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4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19"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5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5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19"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8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7" w:type="pct"/>
            <w:vMerge w:val="continue"/>
            <w:tcBorders>
              <w:top w:val="nil"/>
              <w:left w:val="single" w:color="000000" w:sz="4" w:space="0"/>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94"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50"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94"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84" w:type="pct"/>
            <w:vMerge w:val="continue"/>
            <w:tcBorders>
              <w:top w:val="nil"/>
              <w:left w:val="nil"/>
              <w:bottom w:val="single" w:color="000000" w:sz="4" w:space="0"/>
              <w:right w:val="single" w:color="000000" w:sz="4" w:space="0"/>
            </w:tcBorders>
            <w:shd w:val="clear" w:color="FFFFFF" w:fill="C0C0C0"/>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ind w:left="0" w:left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ind w:left="0" w:leftChars="0"/>
        <w:jc w:val="center"/>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ascii="方正小标宋_GBK" w:hAnsi="方正小标宋_GBK" w:eastAsia="方正小标宋_GBK" w:cs="方正小标宋_GBK"/>
          <w:sz w:val="70"/>
          <w:szCs w:val="70"/>
        </w:rPr>
      </w:pPr>
    </w:p>
    <w:p>
      <w:pPr>
        <w:pStyle w:val="10"/>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0"/>
        <w:spacing w:line="600" w:lineRule="exact"/>
        <w:ind w:firstLine="640" w:firstLineChars="200"/>
        <w:rPr>
          <w:rFonts w:hAnsi="黑体"/>
          <w:bCs/>
          <w:sz w:val="32"/>
          <w:szCs w:val="32"/>
        </w:rPr>
      </w:pPr>
      <w:r>
        <w:rPr>
          <w:rFonts w:hint="eastAsia" w:hAnsi="黑体"/>
          <w:bCs/>
          <w:sz w:val="32"/>
          <w:szCs w:val="32"/>
        </w:rPr>
        <w:t>一、收入支出决算总体情况说明</w:t>
      </w:r>
    </w:p>
    <w:p>
      <w:pPr>
        <w:ind w:firstLine="420"/>
        <w:jc w:val="left"/>
        <w:rPr>
          <w:rFonts w:hint="default" w:ascii="Times New Roman" w:hAnsi="Times New Roman" w:eastAsia="仿宋_GB2312" w:cs="Arial"/>
          <w:color w:val="000000"/>
          <w:kern w:val="0"/>
          <w:sz w:val="32"/>
          <w:szCs w:val="32"/>
          <w:lang w:val="en-US" w:eastAsia="zh-CN"/>
        </w:rPr>
      </w:pPr>
      <w:r>
        <w:rPr>
          <w:rFonts w:hint="eastAsia" w:ascii="Times New Roman" w:hAnsi="Times New Roman" w:eastAsia="仿宋_GB2312"/>
          <w:sz w:val="32"/>
          <w:szCs w:val="32"/>
        </w:rPr>
        <w:t>2022年度</w:t>
      </w:r>
      <w:r>
        <w:rPr>
          <w:rFonts w:hint="eastAsia" w:ascii="Times New Roman" w:hAnsi="Times New Roman" w:eastAsia="仿宋_GB2312"/>
          <w:sz w:val="32"/>
          <w:szCs w:val="32"/>
          <w:lang w:val="en-US" w:eastAsia="zh-CN"/>
        </w:rPr>
        <w:t>收入</w:t>
      </w:r>
      <w:r>
        <w:rPr>
          <w:rFonts w:hint="eastAsia" w:ascii="Times New Roman" w:hAnsi="Times New Roman" w:eastAsia="仿宋_GB2312"/>
          <w:sz w:val="32"/>
          <w:szCs w:val="32"/>
        </w:rPr>
        <w:t>2271.99</w:t>
      </w:r>
      <w:r>
        <w:rPr>
          <w:rFonts w:hint="eastAsia" w:ascii="Times New Roman" w:hAnsi="Times New Roman" w:eastAsia="仿宋_GB2312"/>
          <w:sz w:val="32"/>
          <w:szCs w:val="32"/>
          <w:lang w:val="en-US" w:eastAsia="zh-CN"/>
        </w:rPr>
        <w:t>万元、支出2404.28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收入增加262.56万元，增长13.07%，，支出</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394.85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19.65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主要是因为一般公共预算财政拨款收入</w:t>
      </w:r>
      <w:r>
        <w:rPr>
          <w:rFonts w:hint="eastAsia" w:ascii="Times New Roman" w:hAnsi="Times New Roman" w:eastAsia="仿宋_GB2312"/>
          <w:sz w:val="32"/>
          <w:szCs w:val="32"/>
          <w:lang w:val="en-US" w:eastAsia="zh-CN"/>
        </w:rPr>
        <w:t>增加，人员经费增加，项目数量增加。</w:t>
      </w:r>
    </w:p>
    <w:p>
      <w:pPr>
        <w:pStyle w:val="10"/>
        <w:spacing w:line="600" w:lineRule="exact"/>
        <w:ind w:firstLine="640" w:firstLineChars="200"/>
        <w:rPr>
          <w:rFonts w:hAnsi="黑体"/>
          <w:bCs/>
          <w:sz w:val="32"/>
          <w:szCs w:val="32"/>
        </w:rPr>
      </w:pPr>
      <w:r>
        <w:rPr>
          <w:rFonts w:hint="eastAsia" w:hAnsi="黑体"/>
          <w:bCs/>
          <w:sz w:val="32"/>
          <w:szCs w:val="32"/>
        </w:rPr>
        <w:t>二、收入决算情况说明</w:t>
      </w:r>
    </w:p>
    <w:p>
      <w:pPr>
        <w:ind w:firstLine="420"/>
        <w:jc w:val="left"/>
        <w:rPr>
          <w:rFonts w:ascii="宋体" w:hAnsi="宋体" w:eastAsia="宋体" w:cs="Arial"/>
          <w:color w:val="000000"/>
          <w:kern w:val="0"/>
          <w:sz w:val="22"/>
        </w:rPr>
      </w:pPr>
      <w:r>
        <w:rPr>
          <w:rFonts w:hint="eastAsia" w:ascii="Times New Roman" w:hAnsi="Times New Roman" w:eastAsia="仿宋_GB2312"/>
          <w:sz w:val="32"/>
          <w:szCs w:val="32"/>
        </w:rPr>
        <w:t>2022年度收入合计22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1.99万元，其中：财政拨款收入2221.99万元，占</w:t>
      </w:r>
      <w:r>
        <w:rPr>
          <w:rFonts w:hint="eastAsia" w:ascii="Times New Roman" w:hAnsi="Times New Roman" w:eastAsia="仿宋_GB2312"/>
          <w:sz w:val="32"/>
          <w:szCs w:val="32"/>
          <w:lang w:val="en-US" w:eastAsia="zh-CN"/>
        </w:rPr>
        <w:t>97.80</w:t>
      </w:r>
      <w:r>
        <w:rPr>
          <w:rFonts w:hint="eastAsia" w:ascii="Times New Roman" w:hAnsi="Times New Roman" w:eastAsia="仿宋_GB2312"/>
          <w:sz w:val="32"/>
          <w:szCs w:val="32"/>
        </w:rPr>
        <w:t>%；其他收入50.00万元，占</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w:t>
      </w:r>
    </w:p>
    <w:p>
      <w:pPr>
        <w:pStyle w:val="10"/>
        <w:spacing w:line="600" w:lineRule="exact"/>
        <w:ind w:firstLine="640" w:firstLineChars="200"/>
        <w:rPr>
          <w:rFonts w:hAnsi="黑体"/>
          <w:bCs/>
          <w:sz w:val="32"/>
          <w:szCs w:val="32"/>
        </w:rPr>
      </w:pPr>
      <w:r>
        <w:rPr>
          <w:rFonts w:hint="eastAsia" w:hAnsi="黑体"/>
          <w:bCs/>
          <w:sz w:val="32"/>
          <w:szCs w:val="32"/>
        </w:rPr>
        <w:t>三、支出决算情况说明</w:t>
      </w:r>
    </w:p>
    <w:p>
      <w:pPr>
        <w:ind w:firstLine="420"/>
        <w:jc w:val="left"/>
        <w:rPr>
          <w:rFonts w:ascii="宋体" w:hAnsi="宋体" w:eastAsia="宋体" w:cs="Arial"/>
          <w:color w:val="000000"/>
          <w:kern w:val="0"/>
          <w:sz w:val="22"/>
        </w:rPr>
      </w:pPr>
      <w:r>
        <w:rPr>
          <w:rFonts w:hint="eastAsia" w:ascii="Times New Roman" w:hAnsi="Times New Roman" w:eastAsia="仿宋_GB2312"/>
          <w:sz w:val="32"/>
          <w:szCs w:val="32"/>
        </w:rPr>
        <w:t>2022年度支出合计2,404.28万元，其中：基本支出</w:t>
      </w:r>
      <w:r>
        <w:rPr>
          <w:rFonts w:ascii="Times New Roman" w:hAnsi="Times New Roman" w:eastAsia="仿宋_GB2312"/>
          <w:sz w:val="32"/>
          <w:szCs w:val="32"/>
        </w:rPr>
        <w:t>1,490.47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62.00</w:t>
      </w:r>
      <w:r>
        <w:rPr>
          <w:rFonts w:hint="eastAsia" w:ascii="Times New Roman" w:hAnsi="Times New Roman" w:eastAsia="仿宋_GB2312"/>
          <w:sz w:val="32"/>
          <w:szCs w:val="32"/>
        </w:rPr>
        <w:t>%；项目支出</w:t>
      </w:r>
      <w:r>
        <w:rPr>
          <w:rFonts w:ascii="Times New Roman" w:hAnsi="Times New Roman" w:eastAsia="仿宋_GB2312"/>
          <w:sz w:val="32"/>
          <w:szCs w:val="32"/>
        </w:rPr>
        <w:t>913.81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38.00</w:t>
      </w:r>
      <w:r>
        <w:rPr>
          <w:rFonts w:hint="eastAsia" w:ascii="Times New Roman" w:hAnsi="Times New Roman" w:eastAsia="仿宋_GB2312"/>
          <w:sz w:val="32"/>
          <w:szCs w:val="32"/>
        </w:rPr>
        <w:t>%。</w:t>
      </w:r>
    </w:p>
    <w:p>
      <w:pPr>
        <w:pStyle w:val="1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0"/>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2022</w:t>
      </w:r>
      <w:r>
        <w:rPr>
          <w:rFonts w:hint="eastAsia" w:ascii="Times New Roman" w:hAnsi="Times New Roman" w:eastAsia="仿宋_GB2312" w:cstheme="minorBidi"/>
          <w:color w:val="auto"/>
          <w:kern w:val="2"/>
          <w:sz w:val="32"/>
          <w:szCs w:val="32"/>
        </w:rPr>
        <w:t>年度财政拨款</w:t>
      </w:r>
      <w:r>
        <w:rPr>
          <w:rFonts w:hint="eastAsia" w:ascii="Times New Roman" w:hAnsi="Times New Roman" w:eastAsia="仿宋_GB2312" w:cstheme="minorBidi"/>
          <w:color w:val="auto"/>
          <w:kern w:val="2"/>
          <w:sz w:val="32"/>
          <w:szCs w:val="32"/>
          <w:lang w:val="en-US" w:eastAsia="zh-CN"/>
        </w:rPr>
        <w:t>收入2221.99万元，</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2354.28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收入</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529.34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31.27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477.14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25.42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主要是因为一般公共预算财政拨款</w:t>
      </w:r>
      <w:r>
        <w:rPr>
          <w:rFonts w:hint="eastAsia" w:ascii="Times New Roman" w:hAnsi="Times New Roman" w:eastAsia="仿宋_GB2312"/>
          <w:sz w:val="32"/>
          <w:szCs w:val="32"/>
          <w:lang w:val="en-US" w:eastAsia="zh-CN"/>
        </w:rPr>
        <w:t>增加，一般公共服务支出增加，文化旅游体育与传媒支出增加。</w:t>
      </w:r>
    </w:p>
    <w:p>
      <w:pPr>
        <w:pStyle w:val="10"/>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ind w:firstLine="420"/>
        <w:jc w:val="left"/>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2354.28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97.92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477.14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一般公共服务支出增加，文化旅游体育与传媒支出增加。</w:t>
      </w:r>
    </w:p>
    <w:p>
      <w:pPr>
        <w:pStyle w:val="1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ind w:firstLine="420"/>
        <w:jc w:val="left"/>
        <w:rPr>
          <w:rFonts w:ascii="Times New Roman" w:hAnsi="Times New Roman" w:eastAsia="仿宋_GB2312"/>
          <w:sz w:val="32"/>
          <w:szCs w:val="32"/>
        </w:rPr>
      </w:pPr>
      <w:r>
        <w:rPr>
          <w:rFonts w:hint="eastAsia" w:ascii="Times New Roman" w:hAnsi="Times New Roman" w:eastAsia="仿宋_GB2312"/>
          <w:sz w:val="32"/>
          <w:szCs w:val="32"/>
        </w:rPr>
        <w:t>2022年度财政拨款支出2,354.28万元，主要用于以下方面：一般公共服务支出768.76万元，占</w:t>
      </w:r>
      <w:r>
        <w:rPr>
          <w:rFonts w:ascii="Times New Roman" w:hAnsi="Times New Roman" w:eastAsia="仿宋_GB2312"/>
          <w:sz w:val="32"/>
          <w:szCs w:val="32"/>
        </w:rPr>
        <w:t>31.38%</w:t>
      </w:r>
      <w:r>
        <w:rPr>
          <w:rFonts w:hint="eastAsia" w:ascii="Times New Roman" w:hAnsi="Times New Roman" w:eastAsia="仿宋_GB2312"/>
          <w:sz w:val="32"/>
          <w:szCs w:val="32"/>
        </w:rPr>
        <w:t>；国防支出6.50万元，占</w:t>
      </w:r>
      <w:r>
        <w:rPr>
          <w:rFonts w:ascii="Times New Roman" w:hAnsi="Times New Roman" w:eastAsia="仿宋_GB2312"/>
          <w:sz w:val="32"/>
          <w:szCs w:val="32"/>
        </w:rPr>
        <w:t>0.28%</w:t>
      </w:r>
      <w:r>
        <w:rPr>
          <w:rFonts w:hint="eastAsia" w:ascii="Times New Roman" w:hAnsi="Times New Roman" w:eastAsia="仿宋_GB2312"/>
          <w:sz w:val="32"/>
          <w:szCs w:val="32"/>
        </w:rPr>
        <w:t>；公共安全支出19.57万元，占</w:t>
      </w:r>
      <w:r>
        <w:rPr>
          <w:rFonts w:ascii="Times New Roman" w:hAnsi="Times New Roman" w:eastAsia="仿宋_GB2312"/>
          <w:sz w:val="32"/>
          <w:szCs w:val="32"/>
        </w:rPr>
        <w:t>0.83%</w:t>
      </w:r>
      <w:r>
        <w:rPr>
          <w:rFonts w:hint="eastAsia" w:ascii="Times New Roman" w:hAnsi="Times New Roman" w:eastAsia="仿宋_GB2312"/>
          <w:sz w:val="32"/>
          <w:szCs w:val="32"/>
        </w:rPr>
        <w:t>；</w:t>
      </w:r>
      <w:bookmarkStart w:id="0" w:name="_GoBack"/>
      <w:bookmarkEnd w:id="0"/>
      <w:r>
        <w:rPr>
          <w:rFonts w:hint="eastAsia" w:ascii="Times New Roman" w:hAnsi="Times New Roman" w:eastAsia="仿宋_GB2312"/>
          <w:sz w:val="32"/>
          <w:szCs w:val="32"/>
        </w:rPr>
        <w:t>教育支出20.00万元，占</w:t>
      </w:r>
      <w:r>
        <w:rPr>
          <w:rFonts w:ascii="Times New Roman" w:hAnsi="Times New Roman" w:eastAsia="仿宋_GB2312"/>
          <w:sz w:val="32"/>
          <w:szCs w:val="32"/>
        </w:rPr>
        <w:t>0.85%</w:t>
      </w:r>
      <w:r>
        <w:rPr>
          <w:rFonts w:hint="eastAsia" w:ascii="Times New Roman" w:hAnsi="Times New Roman" w:eastAsia="仿宋_GB2312"/>
          <w:sz w:val="32"/>
          <w:szCs w:val="32"/>
        </w:rPr>
        <w:t>；文化旅游体育与传媒支出75.74万元，占</w:t>
      </w:r>
      <w:r>
        <w:rPr>
          <w:rFonts w:ascii="Times New Roman" w:hAnsi="Times New Roman" w:eastAsia="仿宋_GB2312"/>
          <w:sz w:val="32"/>
          <w:szCs w:val="32"/>
        </w:rPr>
        <w:t>3.22%</w:t>
      </w:r>
      <w:r>
        <w:rPr>
          <w:rFonts w:hint="eastAsia" w:ascii="Times New Roman" w:hAnsi="Times New Roman" w:eastAsia="仿宋_GB2312"/>
          <w:sz w:val="32"/>
          <w:szCs w:val="32"/>
        </w:rPr>
        <w:t>；社会保障和就业支出144.16万元，占</w:t>
      </w:r>
      <w:r>
        <w:rPr>
          <w:rFonts w:ascii="Times New Roman" w:hAnsi="Times New Roman" w:eastAsia="仿宋_GB2312"/>
          <w:sz w:val="32"/>
          <w:szCs w:val="32"/>
        </w:rPr>
        <w:t>6.12%</w:t>
      </w:r>
      <w:r>
        <w:rPr>
          <w:rFonts w:hint="eastAsia" w:ascii="Times New Roman" w:hAnsi="Times New Roman" w:eastAsia="仿宋_GB2312"/>
          <w:sz w:val="32"/>
          <w:szCs w:val="32"/>
        </w:rPr>
        <w:t>；卫生健康支出67.59万元，占</w:t>
      </w:r>
      <w:r>
        <w:rPr>
          <w:rFonts w:ascii="Times New Roman" w:hAnsi="Times New Roman" w:eastAsia="仿宋_GB2312"/>
          <w:sz w:val="32"/>
          <w:szCs w:val="32"/>
        </w:rPr>
        <w:t>2.87%</w:t>
      </w:r>
      <w:r>
        <w:rPr>
          <w:rFonts w:hint="eastAsia" w:ascii="Times New Roman" w:hAnsi="Times New Roman" w:eastAsia="仿宋_GB2312"/>
          <w:sz w:val="32"/>
          <w:szCs w:val="32"/>
        </w:rPr>
        <w:t>；节能环保支出80.05万元，占</w:t>
      </w:r>
      <w:r>
        <w:rPr>
          <w:rFonts w:ascii="Times New Roman" w:hAnsi="Times New Roman" w:eastAsia="仿宋_GB2312"/>
          <w:sz w:val="32"/>
          <w:szCs w:val="32"/>
        </w:rPr>
        <w:t>3.40%</w:t>
      </w:r>
      <w:r>
        <w:rPr>
          <w:rFonts w:hint="eastAsia" w:ascii="Times New Roman" w:hAnsi="Times New Roman" w:eastAsia="仿宋_GB2312"/>
          <w:sz w:val="32"/>
          <w:szCs w:val="32"/>
        </w:rPr>
        <w:t>；城乡社区支出100.67万元，占</w:t>
      </w:r>
      <w:r>
        <w:rPr>
          <w:rFonts w:ascii="Times New Roman" w:hAnsi="Times New Roman" w:eastAsia="仿宋_GB2312"/>
          <w:sz w:val="32"/>
          <w:szCs w:val="32"/>
        </w:rPr>
        <w:t>4.28%</w:t>
      </w:r>
      <w:r>
        <w:rPr>
          <w:rFonts w:hint="eastAsia" w:ascii="Times New Roman" w:hAnsi="Times New Roman" w:eastAsia="仿宋_GB2312"/>
          <w:sz w:val="32"/>
          <w:szCs w:val="32"/>
        </w:rPr>
        <w:t>；农林水支出944.60万元，占</w:t>
      </w:r>
      <w:r>
        <w:rPr>
          <w:rFonts w:ascii="Times New Roman" w:hAnsi="Times New Roman" w:eastAsia="仿宋_GB2312"/>
          <w:sz w:val="32"/>
          <w:szCs w:val="32"/>
        </w:rPr>
        <w:t>40.12%</w:t>
      </w:r>
      <w:r>
        <w:rPr>
          <w:rFonts w:hint="eastAsia" w:ascii="Times New Roman" w:hAnsi="Times New Roman" w:eastAsia="仿宋_GB2312"/>
          <w:sz w:val="32"/>
          <w:szCs w:val="32"/>
        </w:rPr>
        <w:t>；交通运输支出14.00万元，占</w:t>
      </w:r>
      <w:r>
        <w:rPr>
          <w:rFonts w:ascii="Times New Roman" w:hAnsi="Times New Roman" w:eastAsia="仿宋_GB2312"/>
          <w:sz w:val="32"/>
          <w:szCs w:val="32"/>
        </w:rPr>
        <w:t>0.59%</w:t>
      </w:r>
      <w:r>
        <w:rPr>
          <w:rFonts w:hint="eastAsia" w:ascii="Times New Roman" w:hAnsi="Times New Roman" w:eastAsia="仿宋_GB2312"/>
          <w:sz w:val="32"/>
          <w:szCs w:val="32"/>
        </w:rPr>
        <w:t>；资源勘探工业信息等支出10.00万元，占</w:t>
      </w:r>
      <w:r>
        <w:rPr>
          <w:rFonts w:ascii="Times New Roman" w:hAnsi="Times New Roman" w:eastAsia="仿宋_GB2312"/>
          <w:sz w:val="32"/>
          <w:szCs w:val="32"/>
        </w:rPr>
        <w:t>0.42%</w:t>
      </w:r>
      <w:r>
        <w:rPr>
          <w:rFonts w:hint="eastAsia" w:ascii="Times New Roman" w:hAnsi="Times New Roman" w:eastAsia="仿宋_GB2312"/>
          <w:sz w:val="32"/>
          <w:szCs w:val="32"/>
        </w:rPr>
        <w:t>；自然资源海洋气象等支出52.00万元，占</w:t>
      </w:r>
      <w:r>
        <w:rPr>
          <w:rFonts w:ascii="Times New Roman" w:hAnsi="Times New Roman" w:eastAsia="仿宋_GB2312"/>
          <w:sz w:val="32"/>
          <w:szCs w:val="32"/>
        </w:rPr>
        <w:t>2.21%</w:t>
      </w:r>
      <w:r>
        <w:rPr>
          <w:rFonts w:hint="eastAsia" w:ascii="Times New Roman" w:hAnsi="Times New Roman" w:eastAsia="仿宋_GB2312"/>
          <w:sz w:val="32"/>
          <w:szCs w:val="32"/>
        </w:rPr>
        <w:t>；住房保障支出28.64万元，占</w:t>
      </w:r>
      <w:r>
        <w:rPr>
          <w:rFonts w:ascii="Times New Roman" w:hAnsi="Times New Roman" w:eastAsia="仿宋_GB2312"/>
          <w:sz w:val="32"/>
          <w:szCs w:val="32"/>
        </w:rPr>
        <w:t>1.22%</w:t>
      </w:r>
      <w:r>
        <w:rPr>
          <w:rFonts w:hint="eastAsia" w:ascii="Times New Roman" w:hAnsi="Times New Roman" w:eastAsia="仿宋_GB2312"/>
          <w:sz w:val="32"/>
          <w:szCs w:val="32"/>
        </w:rPr>
        <w:t>；灾害防治及应急管理支出13.99万元，占</w:t>
      </w:r>
      <w:r>
        <w:rPr>
          <w:rFonts w:ascii="Times New Roman" w:hAnsi="Times New Roman" w:eastAsia="仿宋_GB2312"/>
          <w:sz w:val="32"/>
          <w:szCs w:val="32"/>
        </w:rPr>
        <w:t>0.59%</w:t>
      </w:r>
      <w:r>
        <w:rPr>
          <w:rFonts w:hint="eastAsia" w:ascii="Times New Roman" w:hAnsi="Times New Roman" w:eastAsia="仿宋_GB2312"/>
          <w:sz w:val="32"/>
          <w:szCs w:val="32"/>
        </w:rPr>
        <w:t>；其他支出38.00万元，占</w:t>
      </w:r>
      <w:r>
        <w:rPr>
          <w:rFonts w:ascii="Times New Roman" w:hAnsi="Times New Roman" w:eastAsia="仿宋_GB2312"/>
          <w:sz w:val="32"/>
          <w:szCs w:val="32"/>
        </w:rPr>
        <w:t>1.61%</w:t>
      </w:r>
      <w:r>
        <w:rPr>
          <w:rFonts w:hint="eastAsia" w:ascii="Times New Roman" w:hAnsi="Times New Roman" w:eastAsia="仿宋_GB2312"/>
          <w:sz w:val="32"/>
          <w:szCs w:val="32"/>
        </w:rPr>
        <w:t>。</w:t>
      </w:r>
    </w:p>
    <w:p>
      <w:pPr>
        <w:pStyle w:val="1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ind w:firstLine="420"/>
        <w:jc w:val="left"/>
        <w:rPr>
          <w:rFonts w:ascii="宋体" w:hAnsi="宋体" w:eastAsia="宋体" w:cs="Arial"/>
          <w:color w:val="000000"/>
          <w:kern w:val="0"/>
          <w:sz w:val="22"/>
        </w:rPr>
      </w:pPr>
      <w:r>
        <w:rPr>
          <w:rFonts w:hint="eastAsia" w:ascii="Times New Roman" w:hAnsi="Times New Roman" w:eastAsia="仿宋_GB2312"/>
          <w:sz w:val="32"/>
          <w:szCs w:val="32"/>
        </w:rPr>
        <w:t>2022年度财政拨款支出年初预算数为</w:t>
      </w:r>
      <w:r>
        <w:rPr>
          <w:rFonts w:hint="eastAsia" w:ascii="Times New Roman" w:hAnsi="Times New Roman" w:eastAsia="仿宋_GB2312"/>
          <w:sz w:val="32"/>
          <w:szCs w:val="32"/>
          <w:lang w:val="en-US" w:eastAsia="zh-CN"/>
        </w:rPr>
        <w:t>1830.28</w:t>
      </w:r>
      <w:r>
        <w:rPr>
          <w:rFonts w:hint="eastAsia" w:ascii="Times New Roman" w:hAnsi="Times New Roman" w:eastAsia="仿宋_GB2312"/>
          <w:sz w:val="32"/>
          <w:szCs w:val="32"/>
        </w:rPr>
        <w:t>万元，支出决算数为</w:t>
      </w:r>
      <w:r>
        <w:rPr>
          <w:rFonts w:ascii="Times New Roman" w:hAnsi="Times New Roman" w:eastAsia="仿宋_GB2312"/>
          <w:sz w:val="32"/>
          <w:szCs w:val="32"/>
        </w:rPr>
        <w:t>2,404.28</w:t>
      </w:r>
      <w:r>
        <w:rPr>
          <w:rFonts w:hint="eastAsia" w:ascii="Times New Roman" w:hAnsi="Times New Roman" w:eastAsia="仿宋_GB2312"/>
          <w:sz w:val="32"/>
          <w:szCs w:val="32"/>
        </w:rPr>
        <w:t>万元，其中：</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一般公共服务（类）人大事务（款）代表工作（项）。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一般公共服务（类）政协事务（款）其他政协事务支出（项）。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一般公共服务（类）政府办公厅（室）及相关机构事务（款）行政运行（项）</w:t>
      </w:r>
      <w:r>
        <w:rPr>
          <w:rFonts w:hint="eastAsia" w:ascii="Times New Roman" w:hAnsi="Times New Roman" w:eastAsia="仿宋_GB2312"/>
          <w:sz w:val="32"/>
          <w:szCs w:val="32"/>
          <w:lang w:eastAsia="zh-CN"/>
        </w:rPr>
        <w:t>。</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1498.37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568.67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37.95</w:t>
      </w:r>
      <w:r>
        <w:rPr>
          <w:rFonts w:hint="eastAsia" w:ascii="Times New Roman" w:hAnsi="Times New Roman" w:eastAsia="仿宋_GB2312"/>
          <w:sz w:val="32"/>
          <w:szCs w:val="32"/>
        </w:rPr>
        <w:t>%，决算数小于年初预算数的主要原因是：统计口径不同，资金预算分项不够细，导致预算分布紧促。</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一般公共服务（类）政府办公厅（室）及相关机构事务（款）信访事务（项）。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一般公共服务（类）政府办公厅（室）及相关机构事务（款）其他政府办公厅（室）及相关机构事务支出（项）。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一般公共服务（类）统计信息事务（款）其他统计信息事务支出（项）</w:t>
      </w:r>
      <w:r>
        <w:rPr>
          <w:rFonts w:hint="eastAsia" w:ascii="Times New Roman" w:hAnsi="Times New Roman" w:eastAsia="仿宋_GB2312"/>
          <w:sz w:val="32"/>
          <w:szCs w:val="32"/>
          <w:lang w:eastAsia="zh-CN"/>
        </w:rPr>
        <w:t>。</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一般公共服务（类）财政事务（款）行政运行（项）。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一般公共服务（类）财政事务（款）其他财政事务支出（项）。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一般公共服务（类）商贸事务（款）其他商贸事务支出（项）。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一般公共服务（类）组织事务（款）公务员事务（项）。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一般公共服务（类）组织事务（款）其他组织事务支出（项）。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一般公共服务（类）统战事务（款）一般行政管理事务（项）。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万元，支出决算为3.</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一般公共服务（类）统战事务（款）其他统战事务支出（项）</w:t>
      </w:r>
      <w:r>
        <w:rPr>
          <w:rFonts w:hint="eastAsia" w:ascii="Times New Roman" w:hAnsi="Times New Roman" w:eastAsia="仿宋_GB2312"/>
          <w:sz w:val="32"/>
          <w:szCs w:val="32"/>
          <w:lang w:eastAsia="zh-CN"/>
        </w:rPr>
        <w:t>。</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万元，支出决算为3.00万元，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一般公共服务（类）其他共产党事务支出（款）一般行政管理事务（项）。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一般公共服务（类）其他共产党事务支出（款）其他共产党事务支出（项）。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一般公共服务（类）其他一般公共服务支出（款）其他一般公共服务支出（项）。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43.20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一般公共服务（类）其他一般公共服务支出（款）其他一般公共服务支出（项）。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万元，支出决算为43.20万元，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国防支出（类）国防动员（款）兵役征集（项）。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国防支出（类）国防动员（款）人民防空（项）。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公共安全支出（类）公安（款）信息化建设（项）。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公共安全支出（类）司法（款）一般行政管理事务（项）。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公共安全支出（类）强制隔离戒毒（款）强制隔离戒毒人员教育（项）</w:t>
      </w:r>
      <w:r>
        <w:rPr>
          <w:rFonts w:hint="eastAsia" w:ascii="Times New Roman" w:hAnsi="Times New Roman" w:eastAsia="仿宋_GB2312"/>
          <w:sz w:val="32"/>
          <w:szCs w:val="32"/>
          <w:lang w:val="en-US" w:eastAsia="zh-CN"/>
        </w:rPr>
        <w:t>.</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教育支出（类）普通教育（款）其他普通教育支出（项）。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教育支出（类）教育费附加安排的支出（款）其他教育费附加安排的支出（项）。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万元，支出决算为10.00万元，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文化旅游体育与传媒支出（类）文化和旅游（款）其他文化和旅游支出（项）。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文化旅游体育与传媒支出（类）文物（款）文物保护（项）。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文化旅游体育与传媒支出（类）其他文化旅游体育与传媒支出（款）其他文化旅游体育与传媒支出（项）。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社会保障和就业支出（类）人力资源和社会保障管理事务（款）综合业务管理（项）。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社会保障和就业支出（类）人力资源和社会保障管理事务（款）社会保险业务管理事务（项）。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社会保障和就业支出（类）人力资源和社会保障管理事务（款）事业运行（项）。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社会保障和就业支出（类）民政管理事务（款）其他民政管理事务支出（项）。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26.93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社会保障和就业支出（类）行政事业单位养老支出（款）其他行政事业单位养老支出（项）。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其他优抚支出（项）。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社会保障和就业支出（类）退役安置（款）其他退役安置支出（项）。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社会保障和就业支出（类）社会福利（款）养老服务（项）。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社会保障和就业支出（类）临时救助（款）临时救助支出（项）</w:t>
      </w:r>
      <w:r>
        <w:rPr>
          <w:rFonts w:hint="eastAsia" w:ascii="Times New Roman" w:hAnsi="Times New Roman" w:eastAsia="仿宋_GB2312"/>
          <w:sz w:val="32"/>
          <w:szCs w:val="32"/>
          <w:lang w:val="en-US" w:eastAsia="zh-CN"/>
        </w:rPr>
        <w:t>.</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社会保障和就业支出（类）特困人员救助供养（款）农村特困人员救助供养支出（项）。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社会保障和就业支出（类）退役军人管理事务（款）事业运行（项）。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社会保障和就业支出（类）退役军人管理事务（款）其他退役军人事务管理支出（项）。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社会保障和就业支出（类）其他社会保障和就业支出（款）其他社会保障和就业支出（项）。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卫生健康支出（类）基层医疗卫生机构（款）乡镇卫生院（项）。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卫生健康支出（类）公共卫生（款）重大公共卫生服务（项）。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卫生健康支出（类）计划生育事务（款）其他计划生育事务支出（项）。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卫生健康支出（类）行政事业单位医疗（款）行政单位医疗（项）。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卫生健康支出（类）财政对基本医疗保险基金的补助（款）财政对城乡居民基本医疗保险基金的补助（项）。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卫生健康支出（类）优抚对象医疗（款）优抚对象医疗补助（项）。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卫生健康支出（类）优抚对象医疗（款）其他优抚对象医疗支出（项）。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卫生健康支出（类）医疗保障管理事务（款）医疗保障经办事务（项）。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卫生健康支出（类）医疗保障管理事务（款）其他医疗保障管理事务支出（项）。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卫生健康支出（类）其他卫生健康支出（款）其他卫生健康支出（项）。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节能环保支出（类）环境保护管理事务（款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其他环境保护管理事务支出（项）。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节能环保支出（类）自然生态保护（款）农村环境保护（项）。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城乡社区支出（类）城乡社区管理事务（款）其他城乡社区管理事务支出（项）。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城乡社区支出（类）城乡社区公共设施（款）小城镇基础设施建设（项）。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城乡社区支出（类）城乡社区公共设施（款）其他城乡社区公共设施支出（项）。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城乡社区支出（类）其他城乡社区支出（款）其他城乡社区支出（项）。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农林水支出（类）农业农村（款）行政运行（项）。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农林水支出（类）农业农村（款）事业运行（项）。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151.44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农林水支出（类）农业农村（款）执法监管（项）。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农林水支出（类）农业农村（款）执法监管（项）。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万元，支出决算为4.00万元，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农林水支出（类）农业农村（款）防灾救灾（项）。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4.00万元，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农林水支出（类）农业农村（款）农业生产发展（项）。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万元，支出决算为14.00万元，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农林水支出（类）农业农村（款）农村社会事业（项）。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农林水支出（类）农业农村（款）农村道路建设（项）。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农林水支出（类）农业农村（款）农田建设（项）。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万元，支出决算为5.00万元，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农林水支出（类）农业农村（款）其他农业农村支出（项）。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51.39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农林水支出（类）林业和草原（款）其他林业和草原支出（项）。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农林水支出（类）水利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款）水利工程建设（项）。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农林水支出（类）水利（款）防汛（项）。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农林水支出（类）水利（款）抗旱（项）。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34.80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农林水支出（类）水利（款）农村水利（项）。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农林水支出（类）巩固脱贫衔接乡村振兴（款）农村基础设施建设（项）。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农林水支出（类）巩固脱贫衔接乡村振兴（款）生产发展（项）。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农林水支出（类）巩固脱贫衔接乡村振兴（款）其他巩固脱贫衔接乡村振兴支出（项）。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农林水支出（类）农村综合改革（款）对村级公益事业建设的补助（项）。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农林水支出（类）农村综合改革（款）对村民委员会和村党支部的补助（项）。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275.47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234.87</w:t>
      </w:r>
      <w:r>
        <w:rPr>
          <w:rFonts w:hint="eastAsia" w:ascii="Times New Roman" w:hAnsi="Times New Roman" w:eastAsia="仿宋_GB2312"/>
          <w:sz w:val="32"/>
          <w:szCs w:val="32"/>
        </w:rPr>
        <w:t>万元，决算数小于年初预算数的主要原因是：</w:t>
      </w:r>
      <w:r>
        <w:rPr>
          <w:rFonts w:hint="eastAsia" w:ascii="Times New Roman" w:hAnsi="Times New Roman" w:eastAsia="仿宋_GB2312"/>
          <w:sz w:val="32"/>
          <w:szCs w:val="32"/>
          <w:lang w:val="en-US" w:eastAsia="zh-CN"/>
        </w:rPr>
        <w:t>资金紧张，经费缩减。</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农林水支出（类）农村综合改革（款）其他农村综合改革支出（项）。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农林水支出（类）其他农林水支出（款）其他农林水支出（项）。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交通运输支出（类）公路水路运输（款）其他公路水路运输支出（项）。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资源勘探工业信息等支出（类）制造业（款）其他制造业支出（项）。</w:t>
      </w:r>
    </w:p>
    <w:p>
      <w:pPr>
        <w:pStyle w:val="10"/>
        <w:numPr>
          <w:ilvl w:val="0"/>
          <w:numId w:val="0"/>
        </w:numPr>
        <w:spacing w:line="600" w:lineRule="exact"/>
        <w:ind w:firstLine="42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自然资源海洋气象等支出（类）自然资源事务（款）一般行政管理事务（项）。</w:t>
      </w:r>
    </w:p>
    <w:p>
      <w:pPr>
        <w:pStyle w:val="10"/>
        <w:numPr>
          <w:ilvl w:val="0"/>
          <w:numId w:val="0"/>
        </w:numPr>
        <w:spacing w:line="600" w:lineRule="exact"/>
        <w:ind w:firstLine="42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万元，支出决算为15.00万元，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自然资源海洋气象等支出（类）自然资源事务（款）自然资源利用与保护（项）。</w:t>
      </w:r>
    </w:p>
    <w:p>
      <w:pPr>
        <w:pStyle w:val="10"/>
        <w:numPr>
          <w:ilvl w:val="0"/>
          <w:numId w:val="0"/>
        </w:numPr>
        <w:spacing w:line="600" w:lineRule="exact"/>
        <w:ind w:firstLine="42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年初预算为0.00万元，支出决算为</w:t>
      </w:r>
      <w:r>
        <w:rPr>
          <w:rFonts w:hint="eastAsia" w:ascii="Times New Roman" w:hAnsi="Times New Roman" w:eastAsia="仿宋_GB2312"/>
          <w:sz w:val="32"/>
          <w:szCs w:val="32"/>
          <w:lang w:val="en-US" w:eastAsia="zh-CN"/>
        </w:rPr>
        <w:t>17.47</w:t>
      </w:r>
      <w:r>
        <w:rPr>
          <w:rFonts w:hint="eastAsia" w:ascii="Times New Roman" w:hAnsi="Times New Roman" w:eastAsia="仿宋_GB2312"/>
          <w:sz w:val="32"/>
          <w:szCs w:val="32"/>
          <w:lang w:eastAsia="zh-CN"/>
        </w:rPr>
        <w:t>万元，决算数大于年初预算数的主要原因是：统计口径不同，预算资金全部列于行政运行。</w:t>
      </w:r>
    </w:p>
    <w:p>
      <w:pPr>
        <w:pStyle w:val="10"/>
        <w:numPr>
          <w:ilvl w:val="0"/>
          <w:numId w:val="2"/>
        </w:numPr>
        <w:spacing w:line="600"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自然资源海洋气象等支出（类）自然资源事务（款）自然资源调查与确权登记（项）。</w:t>
      </w:r>
    </w:p>
    <w:p>
      <w:pPr>
        <w:pStyle w:val="10"/>
        <w:numPr>
          <w:ilvl w:val="0"/>
          <w:numId w:val="0"/>
        </w:numPr>
        <w:spacing w:line="600" w:lineRule="exact"/>
        <w:ind w:firstLine="42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年初预算为0.00万元，支出决算为</w:t>
      </w:r>
      <w:r>
        <w:rPr>
          <w:rFonts w:hint="eastAsia" w:ascii="Times New Roman" w:hAnsi="Times New Roman" w:eastAsia="仿宋_GB2312"/>
          <w:sz w:val="32"/>
          <w:szCs w:val="32"/>
          <w:lang w:val="en-US" w:eastAsia="zh-CN"/>
        </w:rPr>
        <w:t>6.53</w:t>
      </w:r>
      <w:r>
        <w:rPr>
          <w:rFonts w:hint="eastAsia" w:ascii="Times New Roman" w:hAnsi="Times New Roman" w:eastAsia="仿宋_GB2312"/>
          <w:sz w:val="32"/>
          <w:szCs w:val="32"/>
          <w:lang w:eastAsia="zh-CN"/>
        </w:rPr>
        <w:t>万元，决算数大于年初预算数的主要原因是：统计口径不同，预算资金全部列于行政运行。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自然资源海洋气象等支出（类）自然资源事务（款）地质矿产资源与环境调查（项）。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lang w:eastAsia="zh-CN"/>
        </w:rPr>
        <w:t>年初预算为0.00万元，支出决算为</w:t>
      </w:r>
      <w:r>
        <w:rPr>
          <w:rFonts w:hint="eastAsia" w:ascii="Times New Roman" w:hAnsi="Times New Roman" w:eastAsia="仿宋_GB2312"/>
          <w:sz w:val="32"/>
          <w:szCs w:val="32"/>
          <w:lang w:val="en-US" w:eastAsia="zh-CN"/>
        </w:rPr>
        <w:t>13.00</w:t>
      </w:r>
      <w:r>
        <w:rPr>
          <w:rFonts w:hint="eastAsia" w:ascii="Times New Roman" w:hAnsi="Times New Roman" w:eastAsia="仿宋_GB2312"/>
          <w:sz w:val="32"/>
          <w:szCs w:val="32"/>
          <w:lang w:eastAsia="zh-CN"/>
        </w:rPr>
        <w:t>万元，决算数大于年初预算数的主要原因是：统计口径不同，预算资金全部列于行政运行。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住房保障支出（类）保障性安居工程支出（款）其他保障性安居工程支出（项）。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住房保障支出（类）住房改革支出（款）住房公积金（项）。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18.64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灾害防治及应急管理支出（类）应急管理事务（款）安全监管（项）。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灾害防治及应急管理支出（类）消防救援事务（款）其他消防救援事务支出（项）。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灾害防治及应急管理支出（类）矿山安全（款）其他矿山安全支出（项）。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灾害防治及应急管理支出（类）自然灾害防治（款）地质灾害防治（项）。</w:t>
      </w:r>
    </w:p>
    <w:p>
      <w:pPr>
        <w:pStyle w:val="10"/>
        <w:numPr>
          <w:ilvl w:val="0"/>
          <w:numId w:val="0"/>
        </w:numPr>
        <w:spacing w:line="600" w:lineRule="exact"/>
        <w:ind w:firstLine="420" w:firstLineChars="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2"/>
        </w:numPr>
        <w:spacing w:line="600" w:lineRule="exact"/>
        <w:ind w:left="0" w:leftChars="0" w:firstLine="640" w:firstLineChars="200"/>
        <w:rPr>
          <w:rFonts w:hAnsi="黑体"/>
          <w:bCs/>
          <w:sz w:val="32"/>
          <w:szCs w:val="32"/>
        </w:rPr>
      </w:pPr>
      <w:r>
        <w:rPr>
          <w:rFonts w:hint="eastAsia" w:ascii="Times New Roman" w:hAnsi="Times New Roman" w:eastAsia="仿宋_GB2312"/>
          <w:sz w:val="32"/>
          <w:szCs w:val="32"/>
        </w:rPr>
        <w:t>灾害防治及应急管理支出（类）自然灾害防治（款</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其他自然灾害防治支出（项）。</w:t>
      </w:r>
    </w:p>
    <w:p>
      <w:pPr>
        <w:pStyle w:val="10"/>
        <w:numPr>
          <w:ilvl w:val="0"/>
          <w:numId w:val="0"/>
        </w:numPr>
        <w:spacing w:line="600" w:lineRule="exact"/>
        <w:ind w:firstLine="420" w:firstLineChars="0"/>
        <w:rPr>
          <w:rFonts w:hAnsi="黑体"/>
          <w:bCs/>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决算数大于年初预算数的主要原因是：统计口径不同，预算资金全部列于行政运行。</w:t>
      </w:r>
    </w:p>
    <w:p>
      <w:pPr>
        <w:pStyle w:val="10"/>
        <w:numPr>
          <w:ilvl w:val="0"/>
          <w:numId w:val="0"/>
        </w:numPr>
        <w:spacing w:line="600" w:lineRule="exact"/>
        <w:ind w:firstLine="420" w:firstLineChars="0"/>
        <w:rPr>
          <w:rFonts w:hAnsi="黑体"/>
          <w:bCs/>
          <w:sz w:val="32"/>
          <w:szCs w:val="32"/>
        </w:rPr>
      </w:pPr>
      <w:r>
        <w:rPr>
          <w:rFonts w:hint="eastAsia" w:hAnsi="黑体"/>
          <w:bCs/>
          <w:sz w:val="32"/>
          <w:szCs w:val="32"/>
        </w:rPr>
        <w:t>六、一般公共预算财政拨款基本支出决算情况说明</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2022年度财政拨款基本支出2354.28万元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1059.50万元，占基本支出的45%,主要包括基本工资、津贴补贴、奖金、伙食补助费、绩效工资、社会保障缴费、住房公积金以及其他工资福利支出；</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430.96万元，占基本支出的18.30%，主要包括办公费、印刷费、咨询费、手续费、水费、电费、差旅费、维修（护）费、会议费、培训费、公务接待费、工会经费、福利费、其他交通费用、其他商品和服务支出。</w:t>
      </w:r>
    </w:p>
    <w:p>
      <w:pPr>
        <w:pStyle w:val="10"/>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ind w:firstLine="420"/>
        <w:jc w:val="left"/>
        <w:rPr>
          <w:rFonts w:ascii="宋体" w:hAnsi="宋体" w:eastAsia="宋体" w:cs="Arial"/>
          <w:color w:val="000000"/>
          <w:kern w:val="0"/>
          <w:sz w:val="2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万元，完成预算的100%，其中：</w:t>
      </w:r>
    </w:p>
    <w:p>
      <w:pPr>
        <w:ind w:firstLine="420"/>
        <w:jc w:val="left"/>
        <w:rPr>
          <w:rFonts w:ascii="宋体" w:hAnsi="宋体" w:eastAsia="宋体" w:cs="Arial"/>
          <w:color w:val="000000"/>
          <w:kern w:val="0"/>
          <w:sz w:val="2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12.70</w:t>
      </w:r>
      <w:r>
        <w:rPr>
          <w:rFonts w:hint="eastAsia" w:ascii="Times New Roman" w:hAnsi="Times New Roman" w:eastAsia="仿宋_GB2312"/>
          <w:sz w:val="32"/>
          <w:szCs w:val="32"/>
        </w:rPr>
        <w:t>万元，完成预算的100%。</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2022年度“三公”经费财政拨款支出决算中，公务接待费支出决算12.70万元，占100%。其中：</w:t>
      </w:r>
    </w:p>
    <w:p>
      <w:pPr>
        <w:pStyle w:val="10"/>
        <w:spacing w:line="600" w:lineRule="exact"/>
        <w:ind w:left="160"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公务接待费支出决算为12.70万元，全年共接待来访团组近</w:t>
      </w:r>
      <w:r>
        <w:rPr>
          <w:rFonts w:ascii="Times New Roman" w:hAnsi="Times New Roman" w:eastAsia="仿宋_GB2312"/>
          <w:sz w:val="32"/>
          <w:szCs w:val="32"/>
        </w:rPr>
        <w:t>400</w:t>
      </w:r>
      <w:r>
        <w:rPr>
          <w:rFonts w:hint="eastAsia" w:ascii="Times New Roman" w:hAnsi="Times New Roman" w:eastAsia="仿宋_GB2312"/>
          <w:sz w:val="32"/>
          <w:szCs w:val="32"/>
        </w:rPr>
        <w:t>个、来宾近</w:t>
      </w:r>
      <w:r>
        <w:rPr>
          <w:rFonts w:ascii="Times New Roman" w:hAnsi="Times New Roman" w:eastAsia="仿宋_GB2312"/>
          <w:sz w:val="32"/>
          <w:szCs w:val="32"/>
        </w:rPr>
        <w:t>3200</w:t>
      </w:r>
      <w:r>
        <w:rPr>
          <w:rFonts w:hint="eastAsia" w:ascii="Times New Roman" w:hAnsi="Times New Roman" w:eastAsia="仿宋_GB2312"/>
          <w:sz w:val="32"/>
          <w:szCs w:val="32"/>
        </w:rPr>
        <w:t>人次，主要是接待来访单位发生的接待支出。</w:t>
      </w:r>
    </w:p>
    <w:p>
      <w:pPr>
        <w:pStyle w:val="10"/>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0"/>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w:t>
      </w:r>
      <w:r>
        <w:rPr>
          <w:rFonts w:ascii="Times New Roman" w:hAnsi="Times New Roman" w:eastAsia="仿宋_GB2312"/>
          <w:sz w:val="32"/>
          <w:szCs w:val="32"/>
        </w:rPr>
        <w:t>47.20</w:t>
      </w:r>
      <w:r>
        <w:rPr>
          <w:rFonts w:hint="eastAsia" w:ascii="Times New Roman" w:hAnsi="Times New Roman" w:eastAsia="仿宋_GB2312"/>
          <w:sz w:val="32"/>
          <w:szCs w:val="32"/>
        </w:rPr>
        <w:t>万元；年初结转和结余0.00万元；支出</w:t>
      </w:r>
      <w:r>
        <w:rPr>
          <w:rFonts w:ascii="Times New Roman" w:hAnsi="Times New Roman" w:eastAsia="仿宋_GB2312"/>
          <w:sz w:val="32"/>
          <w:szCs w:val="32"/>
        </w:rPr>
        <w:t>47.20</w:t>
      </w:r>
      <w:r>
        <w:rPr>
          <w:rFonts w:hint="eastAsia" w:ascii="Times New Roman" w:hAnsi="Times New Roman" w:eastAsia="仿宋_GB2312"/>
          <w:sz w:val="32"/>
          <w:szCs w:val="32"/>
        </w:rPr>
        <w:t>万元，其中基本支出0.00万元，项目支出</w:t>
      </w:r>
      <w:r>
        <w:rPr>
          <w:rFonts w:ascii="Times New Roman" w:hAnsi="Times New Roman" w:eastAsia="仿宋_GB2312"/>
          <w:sz w:val="32"/>
          <w:szCs w:val="32"/>
        </w:rPr>
        <w:t>47.20</w:t>
      </w:r>
      <w:r>
        <w:rPr>
          <w:rFonts w:hint="eastAsia" w:ascii="Times New Roman" w:hAnsi="Times New Roman" w:eastAsia="仿宋_GB2312"/>
          <w:sz w:val="32"/>
          <w:szCs w:val="32"/>
        </w:rPr>
        <w:t>万元；年末结转和结余0.00万元。具体情况如下：</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9.20</w:t>
      </w:r>
      <w:r>
        <w:rPr>
          <w:rFonts w:hint="eastAsia" w:ascii="Times New Roman" w:hAnsi="Times New Roman" w:eastAsia="仿宋_GB2312"/>
          <w:sz w:val="32"/>
          <w:szCs w:val="32"/>
        </w:rPr>
        <w:t>万元，支出决算为</w:t>
      </w:r>
      <w:r>
        <w:rPr>
          <w:rFonts w:ascii="Times New Roman" w:hAnsi="Times New Roman" w:eastAsia="仿宋_GB2312"/>
          <w:sz w:val="32"/>
          <w:szCs w:val="32"/>
        </w:rPr>
        <w:t>9.20</w:t>
      </w:r>
      <w:r>
        <w:rPr>
          <w:rFonts w:hint="eastAsia" w:ascii="Times New Roman" w:hAnsi="Times New Roman" w:eastAsia="仿宋_GB2312"/>
          <w:sz w:val="32"/>
          <w:szCs w:val="32"/>
        </w:rPr>
        <w:t>万元，完成年初预算的100%.</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2、其他支出。</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38.00</w:t>
      </w:r>
      <w:r>
        <w:rPr>
          <w:rFonts w:hint="eastAsia" w:ascii="Times New Roman" w:hAnsi="Times New Roman" w:eastAsia="仿宋_GB2312"/>
          <w:sz w:val="32"/>
          <w:szCs w:val="32"/>
        </w:rPr>
        <w:t>万元，支出决算为</w:t>
      </w:r>
      <w:r>
        <w:rPr>
          <w:rFonts w:ascii="Times New Roman" w:hAnsi="Times New Roman" w:eastAsia="仿宋_GB2312"/>
          <w:sz w:val="32"/>
          <w:szCs w:val="32"/>
        </w:rPr>
        <w:t>38.00</w:t>
      </w:r>
      <w:r>
        <w:rPr>
          <w:rFonts w:hint="eastAsia" w:ascii="Times New Roman" w:hAnsi="Times New Roman" w:eastAsia="仿宋_GB2312"/>
          <w:sz w:val="32"/>
          <w:szCs w:val="32"/>
        </w:rPr>
        <w:t>万元，完成年初预算的100%.</w:t>
      </w:r>
    </w:p>
    <w:p>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w:t>
      </w:r>
      <w:r>
        <w:rPr>
          <w:rFonts w:hint="eastAsia" w:ascii="Times New Roman" w:hAnsi="Times New Roman" w:eastAsia="仿宋_GB2312"/>
          <w:sz w:val="32"/>
          <w:szCs w:val="32"/>
          <w:lang w:val="en-US" w:eastAsia="zh-CN"/>
        </w:rPr>
        <w:t>430.97</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37.66</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9.58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办公费和印刷费等支出增加</w:t>
      </w:r>
      <w:r>
        <w:rPr>
          <w:rFonts w:hint="eastAsia" w:ascii="Times New Roman" w:hAnsi="Times New Roman" w:eastAsia="仿宋_GB2312"/>
          <w:sz w:val="32"/>
          <w:szCs w:val="32"/>
        </w:rPr>
        <w:t>。</w:t>
      </w:r>
    </w:p>
    <w:p>
      <w:pPr>
        <w:pStyle w:val="10"/>
        <w:spacing w:line="600" w:lineRule="exact"/>
        <w:ind w:firstLine="640" w:firstLineChars="200"/>
        <w:rPr>
          <w:rFonts w:hAnsi="黑体"/>
          <w:bCs/>
          <w:sz w:val="32"/>
          <w:szCs w:val="32"/>
        </w:rPr>
      </w:pPr>
      <w:r>
        <w:rPr>
          <w:rFonts w:hint="eastAsia" w:hAnsi="黑体"/>
          <w:bCs/>
          <w:sz w:val="32"/>
          <w:szCs w:val="32"/>
        </w:rPr>
        <w:t>十、一般性支出情况说明</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各项工作</w:t>
      </w:r>
      <w:r>
        <w:rPr>
          <w:rFonts w:hint="eastAsia" w:ascii="Times New Roman" w:hAnsi="Times New Roman" w:eastAsia="仿宋_GB2312"/>
          <w:sz w:val="32"/>
          <w:szCs w:val="32"/>
        </w:rPr>
        <w:t>会议</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万元；举办节庆、晚会、论坛、赛事活动，开支</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
    <w:p>
      <w:pPr>
        <w:pStyle w:val="10"/>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万元，其中：授予小微企业合同金额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
    <w:p>
      <w:pPr>
        <w:pStyle w:val="10"/>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部门全年</w:t>
      </w:r>
      <w:r>
        <w:rPr>
          <w:rFonts w:hint="eastAsia" w:ascii="Times New Roman" w:hAnsi="Times New Roman" w:eastAsia="仿宋_GB2312"/>
          <w:sz w:val="32"/>
          <w:szCs w:val="32"/>
        </w:rPr>
        <w:t>预算</w:t>
      </w:r>
      <w:r>
        <w:rPr>
          <w:rFonts w:hint="eastAsia" w:ascii="Times New Roman" w:hAnsi="Times New Roman" w:eastAsia="仿宋_GB2312"/>
          <w:sz w:val="32"/>
          <w:szCs w:val="32"/>
          <w:lang w:val="en-US" w:eastAsia="zh-CN"/>
        </w:rPr>
        <w:t>数</w:t>
      </w:r>
      <w:r>
        <w:rPr>
          <w:rFonts w:hint="eastAsia" w:ascii="Times New Roman" w:hAnsi="Times New Roman" w:eastAsia="仿宋_GB2312"/>
          <w:sz w:val="32"/>
          <w:szCs w:val="32"/>
        </w:rPr>
        <w:t>1830.28</w:t>
      </w:r>
      <w:r>
        <w:rPr>
          <w:rFonts w:hint="eastAsia" w:ascii="Times New Roman" w:hAnsi="Times New Roman" w:eastAsia="仿宋_GB2312"/>
          <w:sz w:val="32"/>
          <w:szCs w:val="32"/>
          <w:lang w:val="en-US" w:eastAsia="zh-CN"/>
        </w:rPr>
        <w:t>万元，全年执行数2404.28万元，执行率122.50%，柑橘基地建设，高标准双季稻示范片；质量指标中：各类补贴对象合规律，各类补贴金额准确率，质量达标率等均达到绩效标准；年度内各项工作完成及时率，各项成本支出总额，乡村振兴等工作均达到绩效标准；生态效益指标中：农产品检测，厕所革命，安全生产，水资源保护等均达到绩效标准；生态环境、美丽乡村方面存在宣传不够深入，有焚烧秸秆现象；社会公众或服务对象满意度方面，存在政策宣传不够深入，百姓对部分工作有误解的情况。</w:t>
      </w:r>
      <w:r>
        <w:rPr>
          <w:rFonts w:hint="eastAsia" w:ascii="Times New Roman" w:hAnsi="Times New Roman" w:eastAsia="仿宋_GB2312"/>
          <w:sz w:val="32"/>
          <w:szCs w:val="32"/>
        </w:rPr>
        <w:t>根据部门整体支出绩效评价指标评分标准，2022年我单位部门整体绩效评价自评分为97分。</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1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存在的问题</w:t>
      </w:r>
      <w:r>
        <w:rPr>
          <w:rFonts w:hint="eastAsia" w:ascii="Times New Roman" w:hAnsi="Times New Roman" w:eastAsia="仿宋_GB2312"/>
          <w:sz w:val="32"/>
          <w:szCs w:val="32"/>
          <w:lang w:eastAsia="zh-CN"/>
        </w:rPr>
        <w:t>：</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.绩效目标欠完整。单位部分专项资金绩效目标未纳入整体绩效目标中来。</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.制度建设欠完善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单位部分项目资金未制定专项项目管理制度。</w:t>
      </w:r>
    </w:p>
    <w:p>
      <w:pPr>
        <w:pStyle w:val="1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原因分析</w:t>
      </w:r>
      <w:r>
        <w:rPr>
          <w:rFonts w:hint="eastAsia" w:ascii="Times New Roman" w:hAnsi="Times New Roman" w:eastAsia="仿宋_GB2312"/>
          <w:sz w:val="32"/>
          <w:szCs w:val="32"/>
          <w:lang w:eastAsia="zh-CN"/>
        </w:rPr>
        <w:t>：</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1.缺乏行之有效的绩效评估制度。</w:t>
      </w:r>
    </w:p>
    <w:p>
      <w:pPr>
        <w:pStyle w:val="10"/>
        <w:spacing w:line="600" w:lineRule="exact"/>
        <w:ind w:firstLine="640" w:firstLineChars="200"/>
        <w:rPr>
          <w:sz w:val="72"/>
          <w:szCs w:val="72"/>
        </w:rPr>
      </w:pPr>
      <w:r>
        <w:rPr>
          <w:rFonts w:hint="eastAsia" w:ascii="Times New Roman" w:hAnsi="Times New Roman" w:eastAsia="仿宋_GB2312"/>
          <w:sz w:val="32"/>
          <w:szCs w:val="32"/>
        </w:rPr>
        <w:t>2.与业务部门衔接度不高，未联合相关部门制定项目管理制度。</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一、财政拨款收入：指中央财政当年拨付的资金。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三、经营收入：指事业单位在专业业务活动及其辅助活动之外开展非独立核算经营活动取得的收入。如：中国财政杂志社广告收入等。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四、其他收入：指除上述“财政拨款收入” 、 “事业收入” 、“经营收入”等以外的收入。主要是按规定动用的售房收入、存款利息收入等。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六、年初结转和结余：指以前年度尚未完成、结转到本年按有关规定继续使用的资金。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七、结余分配：指事业单位按规定提取的职工福利基金、事业基金和缴纳的所得税，以及建设单位按规定应交回的基本建设竣工项目结余资金。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八、年末结转和结余：指本年度或以前年度预算安排、因客观条件发生变化无法按原计划实施，需要延迟到以后年度按有关规定继续使用的资金。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九、基本支出：指为保障机构正常运转、完成日常工作任务而发生的人员支出和公用支出。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十一、经营支出：指事业单位在专业业务活动及其辅助活动之外开展非独立核算经营活动发生的支出。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35" w:lineRule="atLeast"/>
        <w:ind w:left="0" w:right="0" w:firstLine="555"/>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both"/>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73AF5D"/>
    <w:multiLevelType w:val="multilevel"/>
    <w:tmpl w:val="7973AF5D"/>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FiMjI1NDdiOThjNjc5ZGU2N2ZhNjBhZDY3Y2E4ODUifQ=="/>
  </w:docVars>
  <w:rsids>
    <w:rsidRoot w:val="004506F9"/>
    <w:rsid w:val="00020AD5"/>
    <w:rsid w:val="0002229B"/>
    <w:rsid w:val="000273BD"/>
    <w:rsid w:val="00040CBC"/>
    <w:rsid w:val="000415B7"/>
    <w:rsid w:val="00041E3F"/>
    <w:rsid w:val="00055DAA"/>
    <w:rsid w:val="00061F7B"/>
    <w:rsid w:val="000658A3"/>
    <w:rsid w:val="00074155"/>
    <w:rsid w:val="0009545F"/>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174C8"/>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079D"/>
    <w:rsid w:val="00544866"/>
    <w:rsid w:val="005767CC"/>
    <w:rsid w:val="00590D9F"/>
    <w:rsid w:val="00595D26"/>
    <w:rsid w:val="005A74E6"/>
    <w:rsid w:val="005B404E"/>
    <w:rsid w:val="005D4D55"/>
    <w:rsid w:val="005E2CFB"/>
    <w:rsid w:val="005E7DEF"/>
    <w:rsid w:val="005F2103"/>
    <w:rsid w:val="005F3D1C"/>
    <w:rsid w:val="0062378F"/>
    <w:rsid w:val="00641842"/>
    <w:rsid w:val="00651EEC"/>
    <w:rsid w:val="006560C3"/>
    <w:rsid w:val="006631E7"/>
    <w:rsid w:val="00686673"/>
    <w:rsid w:val="00691E8C"/>
    <w:rsid w:val="006A22C4"/>
    <w:rsid w:val="006A351B"/>
    <w:rsid w:val="006B0422"/>
    <w:rsid w:val="006B2F34"/>
    <w:rsid w:val="006C1B53"/>
    <w:rsid w:val="006D7730"/>
    <w:rsid w:val="006E5284"/>
    <w:rsid w:val="006F3EB5"/>
    <w:rsid w:val="00702E34"/>
    <w:rsid w:val="00704395"/>
    <w:rsid w:val="00710FE7"/>
    <w:rsid w:val="00717621"/>
    <w:rsid w:val="00720FF1"/>
    <w:rsid w:val="00727A53"/>
    <w:rsid w:val="0078620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0254"/>
    <w:rsid w:val="00A42218"/>
    <w:rsid w:val="00A70249"/>
    <w:rsid w:val="00A70B02"/>
    <w:rsid w:val="00A71D9F"/>
    <w:rsid w:val="00A92E9F"/>
    <w:rsid w:val="00AB18FF"/>
    <w:rsid w:val="00AC06E1"/>
    <w:rsid w:val="00AE3603"/>
    <w:rsid w:val="00B33BEA"/>
    <w:rsid w:val="00B57C9F"/>
    <w:rsid w:val="00B63572"/>
    <w:rsid w:val="00B845B3"/>
    <w:rsid w:val="00B85D8B"/>
    <w:rsid w:val="00BA1A87"/>
    <w:rsid w:val="00BB4A40"/>
    <w:rsid w:val="00BC7051"/>
    <w:rsid w:val="00BD6C3E"/>
    <w:rsid w:val="00BE3674"/>
    <w:rsid w:val="00C10681"/>
    <w:rsid w:val="00C3049A"/>
    <w:rsid w:val="00C31B1E"/>
    <w:rsid w:val="00C6645B"/>
    <w:rsid w:val="00C77645"/>
    <w:rsid w:val="00CE04C3"/>
    <w:rsid w:val="00CE76A0"/>
    <w:rsid w:val="00D148C6"/>
    <w:rsid w:val="00D17A8A"/>
    <w:rsid w:val="00D415BA"/>
    <w:rsid w:val="00D63780"/>
    <w:rsid w:val="00D644EE"/>
    <w:rsid w:val="00DD06FF"/>
    <w:rsid w:val="00DD5FE9"/>
    <w:rsid w:val="00E00C7A"/>
    <w:rsid w:val="00E05B0B"/>
    <w:rsid w:val="00E37D6C"/>
    <w:rsid w:val="00E55B68"/>
    <w:rsid w:val="00E561AE"/>
    <w:rsid w:val="00E67BE6"/>
    <w:rsid w:val="00E8683C"/>
    <w:rsid w:val="00EA2B72"/>
    <w:rsid w:val="00F74360"/>
    <w:rsid w:val="00FB462F"/>
    <w:rsid w:val="00FE16FA"/>
    <w:rsid w:val="00FE328A"/>
    <w:rsid w:val="00FE6269"/>
    <w:rsid w:val="00FF5CD6"/>
    <w:rsid w:val="10983F3C"/>
    <w:rsid w:val="170D540F"/>
    <w:rsid w:val="1B302BE8"/>
    <w:rsid w:val="1E531D18"/>
    <w:rsid w:val="216B3F68"/>
    <w:rsid w:val="24962667"/>
    <w:rsid w:val="259F3D0B"/>
    <w:rsid w:val="25AE6883"/>
    <w:rsid w:val="28357A8F"/>
    <w:rsid w:val="288E3F91"/>
    <w:rsid w:val="28AD2841"/>
    <w:rsid w:val="2F1B6430"/>
    <w:rsid w:val="32195D2C"/>
    <w:rsid w:val="3B470946"/>
    <w:rsid w:val="440B46B4"/>
    <w:rsid w:val="459A5F4C"/>
    <w:rsid w:val="51EE5F9B"/>
    <w:rsid w:val="52174AC1"/>
    <w:rsid w:val="5777D4F5"/>
    <w:rsid w:val="5A2C05B1"/>
    <w:rsid w:val="5FC6BB1E"/>
    <w:rsid w:val="5FF720F1"/>
    <w:rsid w:val="68723029"/>
    <w:rsid w:val="696303B7"/>
    <w:rsid w:val="737D59BA"/>
    <w:rsid w:val="73FB5CCA"/>
    <w:rsid w:val="7730116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character" w:customStyle="1" w:styleId="13">
    <w:name w:val="font01"/>
    <w:basedOn w:val="7"/>
    <w:autoRedefine/>
    <w:qFormat/>
    <w:uiPriority w:val="0"/>
    <w:rPr>
      <w:rFonts w:hint="eastAsia" w:ascii="宋体" w:hAnsi="宋体" w:eastAsia="宋体" w:cs="宋体"/>
      <w:color w:val="000000"/>
      <w:sz w:val="22"/>
      <w:szCs w:val="22"/>
      <w:u w:val="none"/>
    </w:rPr>
  </w:style>
  <w:style w:type="character" w:customStyle="1" w:styleId="14">
    <w:name w:val="font21"/>
    <w:basedOn w:val="7"/>
    <w:autoRedefine/>
    <w:qFormat/>
    <w:uiPriority w:val="0"/>
    <w:rPr>
      <w:rFonts w:hint="eastAsia" w:ascii="宋体" w:hAnsi="宋体" w:eastAsia="宋体" w:cs="宋体"/>
      <w:color w:val="000000"/>
      <w:sz w:val="24"/>
      <w:szCs w:val="24"/>
      <w:u w:val="none"/>
    </w:rPr>
  </w:style>
  <w:style w:type="character" w:customStyle="1" w:styleId="15">
    <w:name w:val="font1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1299</Words>
  <Characters>7409</Characters>
  <Lines>61</Lines>
  <Paragraphs>17</Paragraphs>
  <TotalTime>92</TotalTime>
  <ScaleCrop>false</ScaleCrop>
  <LinksUpToDate>false</LinksUpToDate>
  <CharactersWithSpaces>8691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2023-12-14T07:20:00Z</dcterms:created>
  <dc:creator>李航 null</dc:creator>
  <cp:lastModifiedBy>大生</cp:lastModifiedBy>
  <cp:lastPrinted>2023-08-15T09:28:00Z</cp:lastPrinted>
  <dcterms:modified xsi:type="dcterms:W3CDTF">2024-01-12T02:49:07Z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E154E369AB3840A588A44FB92266F72A_12</vt:lpwstr>
  </property>
</Properties>
</file>