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240" w:lineRule="auto"/>
        <w:ind w:right="0"/>
        <w:jc w:val="both"/>
        <w:textAlignment w:val="auto"/>
        <w:outlineLvl w:val="9"/>
        <w:rPr>
          <w:rFonts w:hint="default" w:ascii="Times New Roman" w:hAnsi="Times New Roman" w:eastAsia="黑体" w:cs="Times New Roman"/>
          <w:b w:val="0"/>
          <w:bCs w:val="0"/>
        </w:rPr>
      </w:pPr>
      <w:bookmarkStart w:id="0" w:name="_GoBack"/>
      <w:bookmarkEnd w:id="0"/>
      <w:r>
        <w:rPr>
          <w:rFonts w:hint="default" w:ascii="Times New Roman" w:hAnsi="Times New Roman" w:eastAsia="黑体" w:cs="Times New Roman"/>
          <w:b w:val="0"/>
          <w:bCs w:val="0"/>
        </w:rPr>
        <w:t>附件2：</w:t>
      </w:r>
    </w:p>
    <w:tbl>
      <w:tblPr>
        <w:tblStyle w:val="6"/>
        <w:tblpPr w:leftFromText="180" w:rightFromText="180" w:vertAnchor="text" w:horzAnchor="page" w:tblpXSpec="center" w:tblpY="1504"/>
        <w:tblOverlap w:val="never"/>
        <w:tblW w:w="8793" w:type="dxa"/>
        <w:jc w:val="center"/>
        <w:tblLayout w:type="fixed"/>
        <w:tblCellMar>
          <w:top w:w="0" w:type="dxa"/>
          <w:left w:w="108" w:type="dxa"/>
          <w:bottom w:w="0" w:type="dxa"/>
          <w:right w:w="108" w:type="dxa"/>
        </w:tblCellMar>
      </w:tblPr>
      <w:tblGrid>
        <w:gridCol w:w="710"/>
        <w:gridCol w:w="1495"/>
        <w:gridCol w:w="4849"/>
        <w:gridCol w:w="851"/>
        <w:gridCol w:w="888"/>
      </w:tblGrid>
      <w:tr>
        <w:tblPrEx>
          <w:tblCellMar>
            <w:top w:w="0" w:type="dxa"/>
            <w:left w:w="108" w:type="dxa"/>
            <w:bottom w:w="0" w:type="dxa"/>
            <w:right w:w="108" w:type="dxa"/>
          </w:tblCellMar>
        </w:tblPrEx>
        <w:trPr>
          <w:trHeight w:val="494" w:hRule="atLeast"/>
          <w:jc w:val="center"/>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1495"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项目及分值</w:t>
            </w:r>
          </w:p>
        </w:tc>
        <w:tc>
          <w:tcPr>
            <w:tcW w:w="4849"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评分标准</w:t>
            </w:r>
          </w:p>
        </w:tc>
        <w:tc>
          <w:tcPr>
            <w:tcW w:w="851"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得分</w:t>
            </w:r>
          </w:p>
        </w:tc>
        <w:tc>
          <w:tcPr>
            <w:tcW w:w="888"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备注</w:t>
            </w:r>
          </w:p>
        </w:tc>
      </w:tr>
      <w:tr>
        <w:tblPrEx>
          <w:tblCellMar>
            <w:top w:w="0" w:type="dxa"/>
            <w:left w:w="108" w:type="dxa"/>
            <w:bottom w:w="0" w:type="dxa"/>
            <w:right w:w="108" w:type="dxa"/>
          </w:tblCellMar>
        </w:tblPrEx>
        <w:trPr>
          <w:trHeight w:val="1455"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基本条件</w:t>
            </w:r>
          </w:p>
          <w:p>
            <w:pPr>
              <w:pStyle w:val="2"/>
              <w:rPr>
                <w:rFonts w:hint="eastAsia"/>
                <w:lang w:eastAsia="zh-CN"/>
              </w:rPr>
            </w:pP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未依法依规，有不良记录，未取得合法营业执照和</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湖南省农作物病虫害专业化统防统治服务组织标志</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《授权书》，一律不参与评分。需提供工商营业执照、法人身份证明、银行开户许可证、及专防标志使用授权书复印件</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967"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管理制度（20分）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有固定的经营场所计5分，有独立、健全的财务管理、资产管理（农药、械管理等）、人员管理（技术人员、机防人员等）、档案管理制度、农药包装废弃物处理等制度，各计3分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968"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作业机械与机防手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日作业能力在3000亩以上的作业机械与机手计满分，每少300亩，扣2分。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826"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专技人员</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有1人农业专业技术人员或农校毕业从事农业生产工作5年以上人员，计4分；每增加1名，加2分。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1008"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实施方案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有完善的项目实施方案（包括技术方案、施药配方、喷药器械等）总分25分；有完善的项目资金使用方案总分5分；方案不完善或者使用药剂、使用器械等不合理，酌情扣分。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730"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6</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工作业绩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2023年专业化防治面积达1万亩以上计5分，每上升5000亩，加1分；满分10分。有农户花名册和合同</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772"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7</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数据填报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每年按时在中华人民共和国农业农村部</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植保植检信息管理系统</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进行数据填报，有备案表截图。</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616"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8</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社会评价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3年内未出现作业事故或社会纠纷的计2分；获市级表彰一次记0.5分、省级一次计1分、部级一次计1.5分；获得市级以上植保新技术推广成果、植保新技术专利等知识产权及转化，一项计1分，最高5分。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737"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合计</w:t>
            </w:r>
          </w:p>
        </w:tc>
        <w:tc>
          <w:tcPr>
            <w:tcW w:w="1495"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bl>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桃源县2024年水稻生产万亩示范片专业化统防统治项目实施承担单位遴选评分细则</w:t>
      </w:r>
    </w:p>
    <w:sectPr>
      <w:footerReference r:id="rId3" w:type="default"/>
      <w:pgSz w:w="11906" w:h="16838"/>
      <w:pgMar w:top="1984" w:right="1474" w:bottom="1417" w:left="1588" w:header="851" w:footer="1134" w:gutter="0"/>
      <w:pgNumType w:fmt="decimal" w:start="2"/>
      <w:cols w:space="425" w:num="1"/>
      <w:docGrid w:type="linesAndChars" w:linePitch="61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8"/>
  <w:drawingGridVerticalSpacing w:val="305"/>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OTQ3OWQ2MzdkNmFmYjI4OWNiYTFmY2IwZDYzNDcifQ=="/>
    <w:docVar w:name="KSO_WPS_MARK_KEY" w:val="be36af8a-f644-437a-80b2-901852d9530f"/>
  </w:docVars>
  <w:rsids>
    <w:rsidRoot w:val="00182DD6"/>
    <w:rsid w:val="00175D26"/>
    <w:rsid w:val="00182DD6"/>
    <w:rsid w:val="0028306F"/>
    <w:rsid w:val="002F18E1"/>
    <w:rsid w:val="003B2634"/>
    <w:rsid w:val="004717F5"/>
    <w:rsid w:val="00557169"/>
    <w:rsid w:val="00620304"/>
    <w:rsid w:val="006B26E7"/>
    <w:rsid w:val="0079491C"/>
    <w:rsid w:val="007B52A2"/>
    <w:rsid w:val="007C5E9D"/>
    <w:rsid w:val="00800E05"/>
    <w:rsid w:val="008617D8"/>
    <w:rsid w:val="008B5F18"/>
    <w:rsid w:val="009D295F"/>
    <w:rsid w:val="009F517F"/>
    <w:rsid w:val="00A813E1"/>
    <w:rsid w:val="00B752B1"/>
    <w:rsid w:val="00BA4408"/>
    <w:rsid w:val="00D3498B"/>
    <w:rsid w:val="00D36AE8"/>
    <w:rsid w:val="00DE4AB2"/>
    <w:rsid w:val="00E67A2C"/>
    <w:rsid w:val="00ED06FB"/>
    <w:rsid w:val="00F44678"/>
    <w:rsid w:val="00F64732"/>
    <w:rsid w:val="00F70816"/>
    <w:rsid w:val="00FD6966"/>
    <w:rsid w:val="2ADC31ED"/>
    <w:rsid w:val="3EEA2F2A"/>
    <w:rsid w:val="5F53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Date"/>
    <w:basedOn w:val="1"/>
    <w:next w:val="1"/>
    <w:link w:val="10"/>
    <w:semiHidden/>
    <w:unhideWhenUsed/>
    <w:uiPriority w:val="99"/>
    <w:pPr>
      <w:ind w:left="100" w:leftChars="25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Calibri" w:hAnsi="Calibri" w:eastAsia="宋体" w:cs="Times New Roman"/>
      <w:sz w:val="18"/>
      <w:szCs w:val="18"/>
    </w:rPr>
  </w:style>
  <w:style w:type="character" w:customStyle="1" w:styleId="9">
    <w:name w:val="页脚 Char"/>
    <w:basedOn w:val="7"/>
    <w:link w:val="4"/>
    <w:semiHidden/>
    <w:uiPriority w:val="99"/>
    <w:rPr>
      <w:rFonts w:ascii="Calibri" w:hAnsi="Calibri" w:eastAsia="宋体" w:cs="Times New Roman"/>
      <w:sz w:val="18"/>
      <w:szCs w:val="18"/>
    </w:rPr>
  </w:style>
  <w:style w:type="character" w:customStyle="1" w:styleId="10">
    <w:name w:val="日期 Char"/>
    <w:basedOn w:val="7"/>
    <w:link w:val="3"/>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778</Words>
  <Characters>811</Characters>
  <Lines>20</Lines>
  <Paragraphs>5</Paragraphs>
  <TotalTime>17</TotalTime>
  <ScaleCrop>false</ScaleCrop>
  <LinksUpToDate>false</LinksUpToDate>
  <CharactersWithSpaces>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2024-03-15T01:46:00Z</dcterms:created>
  <dc:creator>微软用户</dc:creator>
  <cp:lastModifiedBy>珍惜</cp:lastModifiedBy>
  <cp:lastPrinted>2024-04-09T00:44:00Z</cp:lastPrinted>
  <dcterms:modified xsi:type="dcterms:W3CDTF">2024-04-10T01:12:54Z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66C74C5CF36C4E8D9E3C6EB28679FA6A</vt:lpwstr>
  </property>
</Properties>
</file>