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国际农发基金贷款项目桃源县项目村及贫困户一览表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98"/>
        <w:gridCol w:w="936"/>
        <w:gridCol w:w="1691"/>
        <w:gridCol w:w="1350"/>
        <w:gridCol w:w="106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村名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人口数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建档立卡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贫困人口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贫困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发生率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是否是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贫困村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贫困村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出列时间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架桥镇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热市镇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茶庵铺镇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杨溪桥镇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龙潭镇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三阳港镇沙坡堉村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观音寺镇马宗岭村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沙坪镇兰坪村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郑家驿镇鲜花村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游鹿溪村、梨子岗村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麦家河村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漆河镇夺旗山村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</w:rPr>
        <w:t>农业经营主体范围及资格要求</w:t>
      </w:r>
    </w:p>
    <w:tbl>
      <w:tblPr>
        <w:tblStyle w:val="7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7036"/>
        <w:gridCol w:w="668"/>
        <w:gridCol w:w="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二级指标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内容及评价标准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准入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符合登记要求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1.根据2006年制定、2017年修订、2018年7月1日起生效的《中华人民共和国农民专业合作社法》，依法注册；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2.营业执照，组织机构代码证书，税务登记证（或实行了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三证合一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五证合一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登记制度改革的新证），银行账户。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构成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1.成员不少于20人；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2.保持正式成员名单，包括成员姓名、性别、身份证号码、职业、家庭住址、贫困状况、持股比例、联系方式等信息；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3.普通农民成员占成员总数至少80％，企业、机构或社会组织的其他成员不得超过5％；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4.至少30％的合作社成员是以前建档立卡贫困户，或者覆盖到的行政村以前所登记贫困农户中有40％（这两个标准中只有一个需要被满足）。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资本确认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出资清单由出资成员签字（盖章），所有成员应按章程的规定依法出资。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股权构成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股权清单明晰，农民成员应至少持有60%的股权，所有成员持股比例合计为100%。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利润分配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合作社有明确的书面利润分配制度。利润分配计划按章程或成员（代表）会议决议确定。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环境标准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合作社在其运作中要遵守良好农业规范（GAP）或遵循有关农业废弃物处理、土壤侵蚀控制、水资源管理、资源再循环、化肥和农药减量使用以及其他可持续的气候智慧农业/牲畜的国家标准、良好做法和技术。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人员配置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合作社有合格的会计人员或委托农业商业管理机构或其他会计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机构进行记账、会计处理等。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财务软件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合作社使用电算化会计软件进行记账。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财务记录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准确记录财务信息，及时更新数据。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财务报表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年度财务报表由监事会审核，由成员提交，报表内容包括成员股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权变动、损益表、盈余分配表、资产负债表等。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例会制度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设立成员（代表）会议、理事会、监事会，依法设立并有效运行；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2.至少前三次必须的会议（大会、理事会、监事会）有记录可查。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合作社事务披露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定期公布合作社事务信息，包括财务、会议、资产、损益等。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商业计划优先支持的产业和活动及项目资金支持限额</w:t>
      </w:r>
    </w:p>
    <w:tbl>
      <w:tblPr>
        <w:tblStyle w:val="7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09"/>
        <w:gridCol w:w="2671"/>
        <w:gridCol w:w="202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商业计划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合作社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企业+合作社模式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企业+农户模式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GB"/>
              </w:rPr>
              <w:t>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资格标准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登记、成员、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股权构成、管理等符合《中华人民共和国农民专业合作社法》和表3.1要求；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2.对目标群体的影响（例如，覆盖面、利益分享机制等）。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合作社登记、成员、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股权构成满足合作社选择标准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中二级指标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1-6以及11；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需具备商业经验以及技术、财务和管理能力，同时已占据一定的市场，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为农业产业化县级及以上重点企业；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3.对目标群体的影响（例如，覆盖面、利益分享机制等）。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需具备商业经验以及技术、财务和管理能力，同时已占据一定的市场，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为农业产业化县级及以上重点企业；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2.对目标群体的影响（例如，覆盖面、利益分享机制等）。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1.已通过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县级农村经营管理部门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的认定，获得《湖南省家庭农场认定证书》；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2.对目标群体的影响（例如，覆盖面、利益分享机制等）。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农发基金贷款支持的活动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优良种畜、改良种苗、二次嫁接等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生产系统；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农业及相关产品的预加工和加工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；存储、干燥、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冷藏等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3.品牌建设与市场营销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培训及新品种与技术的试验、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5.休闲农业与乡村旅游。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优良种畜、改良种苗、二次嫁接等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生产系统；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农业及相关产品的预加工和加工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；存储、干燥、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冷藏等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3.品牌建设与市场营销；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培训及新品种与技术的试验、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5.休闲农业与乡村旅游。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仅限用于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投资，包括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生产基础设施（如喷灌和滴灌，温室大棚以及牲畜生产基础设施）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、培训、能力建设。项目资金由项目办直接拨给农民（不通过企业）。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优良种畜、改良种苗、二次嫁接等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生产系统；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农业及相关产品的预加工和加工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；存储、干燥、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冷藏等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3.品牌建设与市场营销；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培训及新品种与技术的试验、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5.休闲农业与乡村旅游。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农发基金贷款不支持的活动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每年的营业费用（如工资、每年生产投入、化肥、农场劳动力等）或流动资金。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每年的营业费用（如工资、每年生产投入、化肥、农场劳动力等）或流动资金。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每年的营业费用（如工资、每年生产投入、化肥、农场劳动力等）或流动资金。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每年的营业费用（如工资、每年生产投入、化肥、农场劳动力等）或流动资金。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农发基金贷款上限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商业计划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总投资的60%，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且不超过100人民币万元。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商业计划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总投资的60%，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且不超过100人民币万元。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商业计划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总投资的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%，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每个受益户不超过人民币30000元，且不超过100万元人民币。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每个受益户不超过人民币30000元，且不超过100人民币万元。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额外条件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每份商业计划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总投资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超过人民币200万元。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每份商业计划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总投资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超过人民币200万元。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农发基金贷款折股量化</w:t>
            </w:r>
          </w:p>
        </w:tc>
        <w:tc>
          <w:tcPr>
            <w:tcW w:w="8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以资本形式作为农民或合作社成员的股份，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优待原建档立卡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贫困户成员，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贫困户和普通户的比例为1.5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1。（例如：若合作社有100位成员，其中50位为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贫困户，则每个普通户占0.8%股，每个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贫困户占1.2%股）。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（政府、经营主体、农户）联合融资要求</w:t>
            </w:r>
          </w:p>
        </w:tc>
        <w:tc>
          <w:tcPr>
            <w:tcW w:w="8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1.联合融资贡献必须是新的或追加的；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2.合作社融资可包括商业计划中与劳务、流动资金、年度投入以及运营/经常性费用等有关的所有费用。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选择方法</w:t>
            </w:r>
          </w:p>
        </w:tc>
        <w:tc>
          <w:tcPr>
            <w:tcW w:w="8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县商业计划书评选委员会评选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受益群体目标</w:t>
            </w:r>
          </w:p>
        </w:tc>
        <w:tc>
          <w:tcPr>
            <w:tcW w:w="8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30％的合作社成员或农户是以前建档立卡贫困户，或者覆盖到的行政村以前所登记贫困农户的40％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984" w:right="1474" w:bottom="1418" w:left="1588" w:header="851" w:footer="1134" w:gutter="0"/>
          <w:pgNumType w:fmt="decimal" w:start="2"/>
          <w:cols w:space="425" w:num="1"/>
          <w:docGrid w:type="linesAndChars" w:linePitch="610" w:charSpace="-849"/>
        </w:sectPr>
      </w:pPr>
    </w:p>
    <w:p>
      <w:pPr>
        <w:keepNext w:val="0"/>
        <w:keepLines w:val="0"/>
        <w:pageBreakBefore w:val="0"/>
        <w:widowControl w:val="0"/>
        <w:tabs>
          <w:tab w:val="left" w:pos="2217"/>
        </w:tabs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国际农业发展基金贷款湖南省乡村振兴发展项目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××县（区）商业计划感兴趣函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××县项目办：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国际农业发展基金贷款湖南省乡村振兴发展项目××县（区）商业计划感兴趣函征集公告，经我单位认真研究，精心准备，拟定了《××县××（农业经营主体名称）××（特色产业/产品）商业计划建议书，现予提交，请审核。该商业计划建议书初步匡算总投资××万元，拟申请项目资金××万元（政府配套资金××万元，国际农业发展基金贷款××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农业经营主体：____________________________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地        址：____________________________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9" w:firstLineChars="189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11"/>
          <w:sz w:val="32"/>
          <w:lang w:val="en-US" w:eastAsia="zh-CN"/>
        </w:rPr>
        <w:t>联 系 电 话：</w:t>
      </w:r>
      <w:r>
        <w:rPr>
          <w:rFonts w:hint="default" w:ascii="Times New Roman" w:hAnsi="Times New Roman" w:cs="Times New Roman"/>
          <w:lang w:val="en-US" w:eastAsia="zh-CN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9" w:firstLineChars="189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11"/>
          <w:sz w:val="32"/>
          <w:lang w:val="en-US" w:eastAsia="zh-CN"/>
        </w:rPr>
        <w:t>电 子 邮 箱：</w:t>
      </w:r>
      <w:r>
        <w:rPr>
          <w:rFonts w:hint="default" w:ascii="Times New Roman" w:hAnsi="Times New Roman" w:cs="Times New Roman"/>
          <w:lang w:val="en-US" w:eastAsia="zh-CN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附件：桃源县××（农业经营主体名称）××（特色产业/产品）商业计划建议书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righ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农业经营主体代表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签名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：_____________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righ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公章：______________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righ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日期：______________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桃源县××（农业经营主体名称）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××（特色产业/产品）商业计划建议书（提纲）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一、农业经营主体概括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2.产业发展情况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</w:rPr>
        <w:t>3.存在主要困难和问题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二、项目建设目标及建设内容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1.项目建设目标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2.实施期限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</w:rPr>
        <w:t>4.投资匡算与资金来源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三、市场分析及预测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</w:rPr>
        <w:t>四、农户覆盖及带动情况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</w:rPr>
        <w:t>五、资格准入标准资料（复印件）</w:t>
      </w:r>
    </w:p>
    <w:sectPr>
      <w:pgSz w:w="11906" w:h="16838"/>
      <w:pgMar w:top="1984" w:right="1474" w:bottom="1418" w:left="1588" w:header="851" w:footer="1134" w:gutter="0"/>
      <w:pgNumType w:fmt="decimal"/>
      <w:cols w:space="425" w:num="1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48ed0bdc-28f2-45da-a530-a5c28b5c17f8"/>
  </w:docVars>
  <w:rsids>
    <w:rsidRoot w:val="569776A0"/>
    <w:rsid w:val="17003D8F"/>
    <w:rsid w:val="33F260F9"/>
    <w:rsid w:val="456F2A44"/>
    <w:rsid w:val="490D18E7"/>
    <w:rsid w:val="4D5B4FF3"/>
    <w:rsid w:val="51EF293D"/>
    <w:rsid w:val="569776A0"/>
    <w:rsid w:val="6F0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IFAD paragraph numbering"/>
    <w:basedOn w:val="1"/>
    <w:qFormat/>
    <w:uiPriority w:val="99"/>
    <w:pPr>
      <w:widowControl/>
      <w:suppressAutoHyphens/>
      <w:spacing w:after="120" w:line="264" w:lineRule="auto"/>
      <w:jc w:val="left"/>
    </w:pPr>
    <w:rPr>
      <w:rFonts w:ascii="Arial" w:hAnsi="Arial" w:eastAsia="MS Mincho" w:cs="Arial"/>
      <w:sz w:val="20"/>
      <w:szCs w:val="20"/>
      <w:lang w:val="en-CA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2608</Words>
  <Characters>2874</Characters>
  <Lines>0</Lines>
  <Paragraphs>0</Paragraphs>
  <TotalTime>31</TotalTime>
  <ScaleCrop>false</ScaleCrop>
  <LinksUpToDate>false</LinksUpToDate>
  <CharactersWithSpaces>2888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2024-02-26T08:21:00Z</dcterms:created>
  <dc:creator>WPS_1638580310</dc:creator>
  <cp:lastModifiedBy>珍惜</cp:lastModifiedBy>
  <cp:lastPrinted>2024-05-13T04:00:00Z</cp:lastPrinted>
  <dcterms:modified xsi:type="dcterms:W3CDTF">2024-05-13T08:40:07Z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33893E752210473494DDA40FB76108AE</vt:lpwstr>
  </property>
</Properties>
</file>