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bookmarkStart w:id="0" w:name="_GoBack"/>
      <w:bookmarkEnd w:id="0"/>
    </w:p>
    <w:p>
      <w:pPr>
        <w:pStyle w:val="7"/>
        <w:spacing w:before="120" w:beforeAutospacing="0" w:after="120" w:afterAutospacing="0" w:line="630" w:lineRule="atLeast"/>
        <w:jc w:val="center"/>
        <w:rPr>
          <w:rStyle w:val="23"/>
          <w:rFonts w:ascii="宋体" w:hAnsi="宋体"/>
          <w:color w:val="333333"/>
          <w:sz w:val="72"/>
          <w:szCs w:val="72"/>
        </w:rPr>
      </w:pPr>
      <w:r>
        <w:rPr>
          <w:rStyle w:val="23"/>
          <w:rFonts w:hint="eastAsia"/>
          <w:color w:val="333333"/>
          <w:sz w:val="72"/>
          <w:szCs w:val="72"/>
        </w:rPr>
        <w:t xml:space="preserve"> </w:t>
      </w:r>
    </w:p>
    <w:p>
      <w:pPr>
        <w:pStyle w:val="7"/>
        <w:spacing w:before="120" w:beforeAutospacing="0" w:after="120" w:afterAutospacing="0" w:line="630" w:lineRule="atLeast"/>
        <w:jc w:val="center"/>
        <w:rPr>
          <w:rStyle w:val="23"/>
          <w:rFonts w:hint="eastAsia"/>
          <w:color w:val="333333"/>
          <w:sz w:val="72"/>
          <w:szCs w:val="72"/>
        </w:rPr>
      </w:pPr>
      <w:r>
        <w:rPr>
          <w:rStyle w:val="23"/>
          <w:rFonts w:hint="eastAsia"/>
          <w:color w:val="333333"/>
          <w:sz w:val="72"/>
          <w:szCs w:val="72"/>
        </w:rPr>
        <w:t xml:space="preserve"> </w:t>
      </w:r>
    </w:p>
    <w:p>
      <w:pPr>
        <w:pStyle w:val="7"/>
        <w:spacing w:before="120" w:beforeAutospacing="0" w:after="120" w:afterAutospacing="0" w:line="630" w:lineRule="atLeast"/>
        <w:jc w:val="center"/>
        <w:rPr>
          <w:rStyle w:val="23"/>
          <w:rFonts w:hint="eastAsia"/>
          <w:color w:val="333333"/>
          <w:sz w:val="72"/>
          <w:szCs w:val="72"/>
        </w:rPr>
      </w:pPr>
      <w:r>
        <w:rPr>
          <w:rStyle w:val="23"/>
          <w:rFonts w:hint="eastAsia"/>
          <w:color w:val="333333"/>
          <w:sz w:val="72"/>
          <w:szCs w:val="72"/>
        </w:rPr>
        <w:t xml:space="preserve"> </w:t>
      </w:r>
    </w:p>
    <w:p>
      <w:pPr>
        <w:pStyle w:val="7"/>
        <w:spacing w:before="120" w:beforeAutospacing="0" w:after="120" w:afterAutospacing="0" w:line="630" w:lineRule="atLeast"/>
        <w:jc w:val="center"/>
        <w:rPr>
          <w:rStyle w:val="23"/>
          <w:rFonts w:hint="eastAsia" w:ascii="宋体" w:hAnsi="宋体"/>
          <w:color w:val="000000"/>
          <w:sz w:val="72"/>
          <w:szCs w:val="72"/>
        </w:rPr>
      </w:pPr>
      <w:r>
        <w:rPr>
          <w:rStyle w:val="23"/>
          <w:rFonts w:hint="eastAsia" w:ascii="宋体" w:hAnsi="宋体"/>
          <w:color w:val="000000"/>
          <w:sz w:val="72"/>
          <w:szCs w:val="72"/>
        </w:rPr>
        <w:t>桃源县农村经营服务站</w:t>
      </w:r>
    </w:p>
    <w:p>
      <w:pPr>
        <w:pStyle w:val="7"/>
        <w:spacing w:before="120" w:beforeAutospacing="0" w:after="120" w:afterAutospacing="0" w:line="630" w:lineRule="atLeast"/>
        <w:jc w:val="center"/>
        <w:rPr>
          <w:rStyle w:val="23"/>
          <w:rFonts w:hint="eastAsia" w:ascii="宋体" w:hAnsi="宋体"/>
          <w:color w:val="000000"/>
          <w:sz w:val="72"/>
          <w:szCs w:val="72"/>
        </w:rPr>
      </w:pPr>
      <w:r>
        <w:rPr>
          <w:rStyle w:val="23"/>
          <w:rFonts w:hint="eastAsia" w:ascii="宋体" w:hAnsi="宋体"/>
          <w:color w:val="000000"/>
          <w:sz w:val="72"/>
          <w:szCs w:val="72"/>
        </w:rPr>
        <w:t xml:space="preserve"> </w:t>
      </w:r>
    </w:p>
    <w:p>
      <w:pPr>
        <w:pStyle w:val="7"/>
        <w:spacing w:before="120" w:beforeAutospacing="0" w:after="120" w:afterAutospacing="0" w:line="630" w:lineRule="atLeast"/>
        <w:jc w:val="center"/>
        <w:rPr>
          <w:rStyle w:val="23"/>
          <w:rFonts w:hint="eastAsia" w:ascii="宋体" w:hAnsi="宋体"/>
          <w:color w:val="000000"/>
          <w:sz w:val="72"/>
          <w:szCs w:val="72"/>
        </w:rPr>
      </w:pPr>
      <w:r>
        <w:rPr>
          <w:rStyle w:val="23"/>
          <w:rFonts w:hint="eastAsia" w:ascii="宋体" w:hAnsi="宋体"/>
          <w:color w:val="000000"/>
          <w:sz w:val="72"/>
          <w:szCs w:val="72"/>
        </w:rPr>
        <w:t>2</w:t>
      </w:r>
      <w:r>
        <w:rPr>
          <w:rStyle w:val="23"/>
          <w:rFonts w:hint="eastAsia" w:ascii="宋体" w:hAnsi="宋体" w:eastAsia="宋体" w:cs="Times New Roman"/>
          <w:b/>
          <w:bCs/>
          <w:color w:val="000000"/>
          <w:sz w:val="72"/>
          <w:szCs w:val="72"/>
        </w:rPr>
        <w:t>02</w:t>
      </w:r>
      <w:r>
        <w:rPr>
          <w:rStyle w:val="23"/>
          <w:rFonts w:hint="eastAsia" w:ascii="宋体" w:hAnsi="宋体" w:eastAsia="宋体" w:cs="Times New Roman"/>
          <w:b/>
          <w:bCs/>
          <w:color w:val="000000"/>
          <w:sz w:val="72"/>
          <w:szCs w:val="72"/>
          <w:lang w:val="en-US" w:eastAsia="zh-CN"/>
        </w:rPr>
        <w:t>4</w:t>
      </w:r>
      <w:r>
        <w:rPr>
          <w:rStyle w:val="23"/>
          <w:rFonts w:hint="eastAsia" w:ascii="宋体" w:hAnsi="宋体"/>
          <w:color w:val="000000"/>
          <w:sz w:val="72"/>
          <w:szCs w:val="72"/>
        </w:rPr>
        <w:t>年度部门预算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center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  <w:r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  <w:t xml:space="preserve"> </w:t>
      </w:r>
    </w:p>
    <w:p>
      <w:pPr>
        <w:widowControl/>
        <w:spacing w:line="600" w:lineRule="exact"/>
        <w:jc w:val="left"/>
        <w:rPr>
          <w:rStyle w:val="23"/>
          <w:rFonts w:hint="eastAsia" w:ascii="宋体" w:hAnsi="宋体" w:eastAsia="宋体" w:cs="Times New Roman"/>
          <w:b/>
          <w:bCs/>
          <w:color w:val="000000"/>
          <w:kern w:val="0"/>
          <w:sz w:val="72"/>
          <w:szCs w:val="72"/>
          <w:lang w:val="en-US" w:eastAsia="zh-CN" w:bidi="ar-SA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44"/>
          <w:szCs w:val="44"/>
        </w:rPr>
      </w:pPr>
      <w:r>
        <w:rPr>
          <w:rFonts w:eastAsia="黑体"/>
          <w:bCs/>
          <w:kern w:val="0"/>
          <w:sz w:val="44"/>
          <w:szCs w:val="44"/>
        </w:rPr>
        <w:t>目 录</w:t>
      </w: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723" w:firstLineChars="200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/>
          <w:b/>
          <w:bCs/>
          <w:kern w:val="0"/>
          <w:sz w:val="36"/>
          <w:szCs w:val="36"/>
        </w:rPr>
        <w:t>第一部分</w:t>
      </w:r>
      <w:r>
        <w:rPr>
          <w:rFonts w:hint="eastAsia" w:eastAsia="仿宋_GB2312"/>
          <w:b/>
          <w:bCs/>
          <w:kern w:val="0"/>
          <w:sz w:val="36"/>
          <w:szCs w:val="36"/>
        </w:rPr>
        <w:t xml:space="preserve">  </w:t>
      </w:r>
      <w:r>
        <w:rPr>
          <w:rFonts w:hint="eastAsia" w:eastAsia="方正小标宋_GBK"/>
          <w:b/>
          <w:bCs/>
          <w:kern w:val="0"/>
          <w:sz w:val="36"/>
          <w:szCs w:val="36"/>
        </w:rPr>
        <w:t>202</w:t>
      </w:r>
      <w:r>
        <w:rPr>
          <w:rFonts w:hint="eastAsia" w:eastAsia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eastAsia="仿宋_GB2312"/>
          <w:b/>
          <w:bCs/>
          <w:kern w:val="0"/>
          <w:sz w:val="36"/>
          <w:szCs w:val="36"/>
        </w:rPr>
        <w:t>年部门预算说明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部门基本概况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部门预算单位构成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部门收支总体情况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一般公共预算拨款支出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政府性基金预算支出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其他重要事项的情况说明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723" w:firstLineChars="200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/>
          <w:b/>
          <w:bCs/>
          <w:kern w:val="0"/>
          <w:sz w:val="36"/>
          <w:szCs w:val="36"/>
        </w:rPr>
        <w:t>第二部分</w:t>
      </w:r>
      <w:r>
        <w:rPr>
          <w:rFonts w:hint="eastAsia" w:eastAsia="仿宋_GB2312"/>
          <w:b/>
          <w:bCs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eastAsia="仿宋_GB2312"/>
          <w:b/>
          <w:bCs/>
          <w:kern w:val="0"/>
          <w:sz w:val="36"/>
          <w:szCs w:val="36"/>
        </w:rPr>
        <w:t>202</w:t>
      </w:r>
      <w:r>
        <w:rPr>
          <w:rFonts w:hint="eastAsia" w:eastAsia="仿宋_GB2312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eastAsia="仿宋_GB2312"/>
          <w:b/>
          <w:bCs/>
          <w:kern w:val="0"/>
          <w:sz w:val="36"/>
          <w:szCs w:val="36"/>
        </w:rPr>
        <w:t>年部门预算表</w:t>
      </w:r>
    </w:p>
    <w:p>
      <w:pPr>
        <w:widowControl/>
        <w:spacing w:line="600" w:lineRule="exact"/>
        <w:ind w:firstLine="643" w:firstLineChars="200"/>
        <w:jc w:val="left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一、部门预算报表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4、财政拨款收支总表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5、一般公共预算支出表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6、一般公共预算基本支出表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7、一般公共预算“三公”经费支出表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8、政府性基金预算支出表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9、支出预算分类汇总表（按政府预算经济分类）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10、支出预算分类汇总表（按部门预算经济分类）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11、一般公共预算基本支出表--人员经费(工资福利支出)(按政府预算经济分类)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12、一般公共预算基本支出表--人员经费(工资福利支出)(按部门预算经济分类)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13、一般公共预算基本支出表--人员经费(对个人和家庭的补助)(按政府预算经济分类)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14、一般公共预算基本支出表--人员经费(对个人和家庭的补助)（按部门预算经济分类）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15、一般公共预算基本支出表--公用经费(商品和服务支出)（按政府预算经济分类）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16、一般公共预算基本支出表--公用经费(商品和服务支出)(按部门预算经济分类)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17、政府性基金预算支出分类汇总表（按政府预算经济分类）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18、政府性基金预算支出分类汇总表（按部门预算经济分类）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19、国有资本经营预算表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20、财政专户管理资金预算支出表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21、专项资金预算汇总表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22、单位新增资产汇总表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23、政府采购预算表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24、政府购买服务支出预算表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25、单位资产及设备情况表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26、单位人员信息情况表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27、其他项目支出绩效目标表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28、部门整体支出绩效目标表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  <w:r>
        <w:rPr>
          <w:rFonts w:hint="eastAsia" w:ascii="仿宋_GB2312" w:eastAsia="仿宋_GB2312"/>
          <w:bCs/>
          <w:sz w:val="32"/>
          <w:szCs w:val="32"/>
        </w:rPr>
        <w:t>桃源县农村经营服务站主要负责全县农民权益维护和负担监督管理、农村承包地管理及纠纷调解仲裁、新型农村经营主体培育、农村土地 “三权分置”改革、农村集体产权制度改革、村级集体经济发展、村级财务审计、农村宅基地管理与改革、农村产权交易等工作。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  <w:r>
        <w:rPr>
          <w:rFonts w:hint="eastAsia" w:ascii="仿宋_GB2312" w:eastAsia="仿宋_GB2312"/>
          <w:bCs/>
          <w:sz w:val="32"/>
          <w:szCs w:val="32"/>
        </w:rPr>
        <w:t>根据县编委会核定，桃源县农村经营服务站内设部室8个，全部纳入202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年部门预算编制范围。无所属事业单位。内设部室分别是：办公室、计划财务部、农民权益维权服务部、新型经营主体培育部、村级财务指导部、农村土地承包服务部、农村宅基地改革指导部、农村产权交易服务部。县农村经营服务站核定事业编制19名，其中：站长1名，副站长3名，纪检员1名；内设机构正股级职数8名，副股级职数1名，其他工作人员5名。目前我单位在编在岗人员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名。退休干部7人、企业退休再就业援助人员１人，遗属3人。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</w:t>
      </w:r>
      <w:r>
        <w:rPr>
          <w:rFonts w:ascii="仿宋_GB2312" w:eastAsia="仿宋_GB2312"/>
          <w:bCs/>
          <w:sz w:val="32"/>
          <w:szCs w:val="32"/>
        </w:rPr>
        <w:t>部门只有本级，没有其他预算单位，因此本部门预算仅含本级预算。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rPr>
          <w:rFonts w:ascii="仿宋_GB2312" w:eastAsia="仿宋_GB2312"/>
          <w:bCs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ascii="仿宋_GB2312" w:eastAsia="仿宋_GB2312"/>
          <w:bCs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年本部门收入预算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251.37</w:t>
      </w:r>
      <w:r>
        <w:rPr>
          <w:rFonts w:ascii="仿宋_GB2312" w:eastAsia="仿宋_GB2312"/>
          <w:bCs/>
          <w:sz w:val="32"/>
          <w:szCs w:val="32"/>
        </w:rPr>
        <w:t>万元，其中，一般公共预算拨款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35.39</w:t>
      </w:r>
      <w:r>
        <w:rPr>
          <w:rFonts w:ascii="仿宋_GB2312" w:eastAsia="仿宋_GB2312"/>
          <w:bCs/>
          <w:sz w:val="32"/>
          <w:szCs w:val="32"/>
        </w:rPr>
        <w:t>万元，政府性基金预算拨款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万元，国有资本经营预算拨款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万元，纳入专户管理的非税收入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万元。收入较去年减少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4.67</w:t>
      </w:r>
      <w:r>
        <w:rPr>
          <w:rFonts w:ascii="仿宋_GB2312" w:eastAsia="仿宋_GB2312"/>
          <w:bCs/>
          <w:sz w:val="32"/>
          <w:szCs w:val="32"/>
        </w:rPr>
        <w:t>万元，主要是</w:t>
      </w:r>
      <w:r>
        <w:rPr>
          <w:rFonts w:hint="eastAsia" w:ascii="仿宋_GB2312" w:eastAsia="仿宋_GB2312"/>
          <w:bCs/>
          <w:sz w:val="32"/>
          <w:szCs w:val="32"/>
        </w:rPr>
        <w:t>预算收入减少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年本部门支出预算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251.37</w:t>
      </w:r>
      <w:r>
        <w:rPr>
          <w:rFonts w:ascii="仿宋_GB2312" w:eastAsia="仿宋_GB2312"/>
          <w:bCs/>
          <w:sz w:val="32"/>
          <w:szCs w:val="32"/>
        </w:rPr>
        <w:t>万元，其中，</w:t>
      </w:r>
      <w:r>
        <w:rPr>
          <w:rFonts w:hint="eastAsia" w:ascii="仿宋_GB2312" w:eastAsia="仿宋_GB2312"/>
          <w:bCs/>
          <w:sz w:val="32"/>
          <w:szCs w:val="32"/>
        </w:rPr>
        <w:t>社会保障和就业支出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0.74</w:t>
      </w:r>
      <w:r>
        <w:rPr>
          <w:rFonts w:ascii="仿宋_GB2312" w:eastAsia="仿宋_GB2312"/>
          <w:bCs/>
          <w:sz w:val="32"/>
          <w:szCs w:val="32"/>
        </w:rPr>
        <w:t>万元，</w:t>
      </w:r>
      <w:r>
        <w:rPr>
          <w:rFonts w:hint="eastAsia" w:ascii="仿宋_GB2312" w:eastAsia="仿宋_GB2312"/>
          <w:bCs/>
          <w:sz w:val="32"/>
          <w:szCs w:val="32"/>
        </w:rPr>
        <w:t>卫生健康支出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.62</w:t>
      </w:r>
      <w:r>
        <w:rPr>
          <w:rFonts w:ascii="仿宋_GB2312" w:eastAsia="仿宋_GB2312"/>
          <w:bCs/>
          <w:sz w:val="32"/>
          <w:szCs w:val="32"/>
        </w:rPr>
        <w:t>万元，</w:t>
      </w:r>
      <w:r>
        <w:rPr>
          <w:rFonts w:hint="eastAsia" w:ascii="仿宋_GB2312" w:eastAsia="仿宋_GB2312"/>
          <w:bCs/>
          <w:sz w:val="32"/>
          <w:szCs w:val="32"/>
        </w:rPr>
        <w:t>农林水支出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04.64</w:t>
      </w:r>
      <w:r>
        <w:rPr>
          <w:rFonts w:ascii="仿宋_GB2312" w:eastAsia="仿宋_GB2312"/>
          <w:bCs/>
          <w:sz w:val="32"/>
          <w:szCs w:val="32"/>
        </w:rPr>
        <w:t>万元，</w:t>
      </w:r>
      <w:r>
        <w:rPr>
          <w:rFonts w:hint="eastAsia" w:ascii="仿宋_GB2312" w:eastAsia="仿宋_GB2312"/>
          <w:bCs/>
          <w:sz w:val="32"/>
          <w:szCs w:val="32"/>
        </w:rPr>
        <w:t>住房保障支出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6.37</w:t>
      </w:r>
      <w:r>
        <w:rPr>
          <w:rFonts w:ascii="仿宋_GB2312" w:eastAsia="仿宋_GB2312"/>
          <w:bCs/>
          <w:sz w:val="32"/>
          <w:szCs w:val="32"/>
        </w:rPr>
        <w:t>万元。支出较去年增减少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4.67</w:t>
      </w:r>
      <w:r>
        <w:rPr>
          <w:rFonts w:ascii="仿宋_GB2312" w:eastAsia="仿宋_GB2312"/>
          <w:bCs/>
          <w:sz w:val="32"/>
          <w:szCs w:val="32"/>
        </w:rPr>
        <w:t>万元，主要是</w:t>
      </w:r>
      <w:r>
        <w:rPr>
          <w:rFonts w:hint="eastAsia" w:ascii="仿宋_GB2312" w:eastAsia="仿宋_GB2312"/>
          <w:bCs/>
          <w:sz w:val="32"/>
          <w:szCs w:val="32"/>
        </w:rPr>
        <w:t>农林水支出等较去年有所</w:t>
      </w:r>
      <w:r>
        <w:rPr>
          <w:rFonts w:ascii="仿宋_GB2312" w:eastAsia="仿宋_GB2312"/>
          <w:bCs/>
          <w:sz w:val="32"/>
          <w:szCs w:val="32"/>
        </w:rPr>
        <w:t>减少。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年本部门一般公共预算拨款支出预算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51.37</w:t>
      </w:r>
      <w:r>
        <w:rPr>
          <w:rFonts w:ascii="仿宋_GB2312" w:eastAsia="仿宋_GB2312"/>
          <w:bCs/>
          <w:sz w:val="32"/>
          <w:szCs w:val="32"/>
          <w:highlight w:val="none"/>
        </w:rPr>
        <w:t>万元，其中，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社会保障和就业支出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0.74</w:t>
      </w:r>
      <w:r>
        <w:rPr>
          <w:rFonts w:ascii="仿宋_GB2312" w:eastAsia="仿宋_GB2312"/>
          <w:bCs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.25</w:t>
      </w:r>
      <w:r>
        <w:rPr>
          <w:rFonts w:ascii="仿宋_GB2312" w:eastAsia="仿宋_GB2312"/>
          <w:bCs/>
          <w:sz w:val="32"/>
          <w:szCs w:val="32"/>
          <w:highlight w:val="none"/>
        </w:rPr>
        <w:t xml:space="preserve"> %；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卫生健康支出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.62</w:t>
      </w:r>
      <w:r>
        <w:rPr>
          <w:rFonts w:ascii="仿宋_GB2312" w:eastAsia="仿宋_GB2312"/>
          <w:bCs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3.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83</w:t>
      </w:r>
      <w:r>
        <w:rPr>
          <w:rFonts w:ascii="仿宋_GB2312" w:eastAsia="仿宋_GB2312"/>
          <w:bCs/>
          <w:sz w:val="32"/>
          <w:szCs w:val="32"/>
          <w:highlight w:val="none"/>
        </w:rPr>
        <w:t xml:space="preserve"> %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农林水支出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04.64</w:t>
      </w:r>
      <w:r>
        <w:rPr>
          <w:rFonts w:ascii="仿宋_GB2312" w:eastAsia="仿宋_GB2312"/>
          <w:bCs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.41</w:t>
      </w:r>
      <w:r>
        <w:rPr>
          <w:rFonts w:ascii="仿宋_GB2312" w:eastAsia="仿宋_GB2312"/>
          <w:bCs/>
          <w:sz w:val="32"/>
          <w:szCs w:val="32"/>
          <w:highlight w:val="none"/>
        </w:rPr>
        <w:t xml:space="preserve"> %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；住房保障支出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6.37</w:t>
      </w:r>
      <w:r>
        <w:rPr>
          <w:rFonts w:ascii="仿宋_GB2312" w:eastAsia="仿宋_GB2312"/>
          <w:bCs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，</w:t>
      </w:r>
      <w:r>
        <w:rPr>
          <w:rFonts w:ascii="仿宋_GB2312" w:eastAsia="仿宋_GB2312"/>
          <w:bCs/>
          <w:sz w:val="32"/>
          <w:szCs w:val="32"/>
          <w:highlight w:val="none"/>
        </w:rPr>
        <w:t>占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6.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1</w:t>
      </w:r>
      <w:r>
        <w:rPr>
          <w:rFonts w:ascii="仿宋_GB2312" w:eastAsia="仿宋_GB2312"/>
          <w:bCs/>
          <w:sz w:val="32"/>
          <w:szCs w:val="32"/>
          <w:highlight w:val="none"/>
        </w:rPr>
        <w:t xml:space="preserve"> %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  <w:r>
        <w:rPr>
          <w:rFonts w:ascii="仿宋_GB2312" w:eastAsia="仿宋_GB2312"/>
          <w:bCs/>
          <w:sz w:val="32"/>
          <w:szCs w:val="32"/>
          <w:highlight w:val="none"/>
        </w:rPr>
        <w:t>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年本部门基本支出预算数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11.39</w:t>
      </w:r>
      <w:r>
        <w:rPr>
          <w:rFonts w:ascii="仿宋_GB2312" w:eastAsia="仿宋_GB2312"/>
          <w:bCs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年本部门项目支出预算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9.98</w:t>
      </w:r>
      <w:r>
        <w:rPr>
          <w:rFonts w:ascii="仿宋_GB2312" w:eastAsia="仿宋_GB2312"/>
          <w:bCs/>
          <w:sz w:val="32"/>
          <w:szCs w:val="32"/>
        </w:rPr>
        <w:t>万元，主要是部门为完成特定行政工作任务或事业发展目标而发生的支出，包括有关事业发展专项、专项业务费、基本建设支出等，其中</w:t>
      </w:r>
      <w:r>
        <w:rPr>
          <w:rFonts w:hint="eastAsia" w:ascii="仿宋_GB2312" w:eastAsia="仿宋_GB2312"/>
          <w:bCs/>
          <w:sz w:val="32"/>
          <w:szCs w:val="32"/>
        </w:rPr>
        <w:t>：农村土地承包经营纠纷仲裁工作支出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万元，主要用于农村土地承包经营纠纷调解及仲裁工作等方面；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农村土地承包经营权确权登记颁证工作支出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7.32万元，主要用于第二轮土地承包到期后再延长30年试点地区流转等工作；</w:t>
      </w:r>
      <w:r>
        <w:rPr>
          <w:rFonts w:hint="eastAsia" w:ascii="仿宋_GB2312" w:eastAsia="仿宋_GB2312"/>
          <w:bCs/>
          <w:sz w:val="32"/>
          <w:szCs w:val="32"/>
        </w:rPr>
        <w:t>农村宅基地审批管理及纠纷调处工作支出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万元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主要用于农村村民建房管理改革和现场执法等方面；农民权益维护和负担监督协调工作支出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万元，主要用于农民权益维护和负担监督协调等方面；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省级农村发展专项工作</w:t>
      </w:r>
      <w:r>
        <w:rPr>
          <w:rFonts w:hint="eastAsia" w:ascii="仿宋_GB2312" w:eastAsia="仿宋_GB2312"/>
          <w:bCs/>
          <w:sz w:val="32"/>
          <w:szCs w:val="32"/>
        </w:rPr>
        <w:t>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.66</w:t>
      </w:r>
      <w:r>
        <w:rPr>
          <w:rFonts w:hint="eastAsia" w:ascii="仿宋_GB2312" w:eastAsia="仿宋_GB2312"/>
          <w:bCs/>
          <w:sz w:val="32"/>
          <w:szCs w:val="32"/>
        </w:rPr>
        <w:t>万元，主要用于农村土农村集体经济发展、村社分账、产权制度改革等方面。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年本部门无政府性基金安排的支出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年本部门机关运行经费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19.10</w:t>
      </w:r>
      <w:r>
        <w:rPr>
          <w:rFonts w:hint="eastAsia" w:ascii="仿宋_GB2312" w:eastAsia="仿宋_GB2312"/>
          <w:bCs/>
          <w:sz w:val="32"/>
          <w:szCs w:val="32"/>
        </w:rPr>
        <w:t>27.08</w:t>
      </w:r>
      <w:r>
        <w:rPr>
          <w:rFonts w:ascii="仿宋_GB2312" w:eastAsia="仿宋_GB2312"/>
          <w:bCs/>
          <w:sz w:val="32"/>
          <w:szCs w:val="32"/>
        </w:rPr>
        <w:t>万元，比上年预算减少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.98</w:t>
      </w:r>
      <w:r>
        <w:rPr>
          <w:rFonts w:ascii="仿宋_GB2312" w:eastAsia="仿宋_GB2312"/>
          <w:bCs/>
          <w:sz w:val="32"/>
          <w:szCs w:val="32"/>
        </w:rPr>
        <w:t>万元，下降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9.47</w:t>
      </w:r>
      <w:r>
        <w:rPr>
          <w:rFonts w:ascii="仿宋_GB2312" w:eastAsia="仿宋_GB2312"/>
          <w:bCs/>
          <w:sz w:val="32"/>
          <w:szCs w:val="32"/>
        </w:rPr>
        <w:t>%，主要是</w:t>
      </w:r>
      <w:r>
        <w:rPr>
          <w:rFonts w:hint="eastAsia" w:ascii="仿宋_GB2312" w:eastAsia="仿宋_GB2312"/>
          <w:bCs/>
          <w:sz w:val="32"/>
          <w:szCs w:val="32"/>
        </w:rPr>
        <w:t>厉行节约，压减不必要的开支。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年本部门“三公”经费预算数为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2.80</w:t>
      </w:r>
      <w:r>
        <w:rPr>
          <w:rFonts w:ascii="仿宋_GB2312" w:eastAsia="仿宋_GB2312"/>
          <w:bCs/>
          <w:sz w:val="32"/>
          <w:szCs w:val="32"/>
        </w:rPr>
        <w:t>万元，其中，公务接待费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2.80</w:t>
      </w:r>
      <w:r>
        <w:rPr>
          <w:rFonts w:ascii="仿宋_GB2312" w:eastAsia="仿宋_GB2312"/>
          <w:bCs/>
          <w:sz w:val="32"/>
          <w:szCs w:val="32"/>
        </w:rPr>
        <w:t>万元，公务用车购置及运行费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万元（其中，公务用车购置费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万元，公务用车运行费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万元），因公出国（境）费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万元。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年“三公”经费预算较202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2.80</w:t>
      </w:r>
      <w:r>
        <w:rPr>
          <w:rFonts w:ascii="仿宋_GB2312" w:eastAsia="仿宋_GB2312"/>
          <w:bCs/>
          <w:sz w:val="32"/>
          <w:szCs w:val="32"/>
        </w:rPr>
        <w:t>万元，主要是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上年预算编制时有误，未编制“三公”经费开支。</w:t>
      </w:r>
    </w:p>
    <w:p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年本部门会议费预算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万元，拟召开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会议，人数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人；培训费预算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万元，拟开展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培训，人数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人；拟举办</w:t>
      </w:r>
      <w:r>
        <w:rPr>
          <w:rFonts w:hint="eastAsia" w:ascii="仿宋_GB2312" w:eastAsia="仿宋_GB2312"/>
          <w:bCs/>
          <w:sz w:val="32"/>
          <w:szCs w:val="32"/>
        </w:rPr>
        <w:t>0场</w:t>
      </w:r>
      <w:r>
        <w:rPr>
          <w:rFonts w:ascii="仿宋_GB2312" w:eastAsia="仿宋_GB2312"/>
          <w:bCs/>
          <w:sz w:val="32"/>
          <w:szCs w:val="32"/>
        </w:rPr>
        <w:t>节庆、晚会、论坛、赛事活动，经费预算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年本部门政府采购预算总额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万元，其中，货物类采购预算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万元；工程类采购预算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万元；服务类采购预算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万元。</w:t>
      </w:r>
    </w:p>
    <w:p>
      <w:pPr>
        <w:widowControl/>
        <w:spacing w:line="600" w:lineRule="exact"/>
        <w:ind w:firstLine="707" w:firstLineChars="22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（五）</w:t>
      </w:r>
      <w:r>
        <w:rPr>
          <w:rFonts w:eastAsia="楷体_GB2312"/>
          <w:b/>
          <w:sz w:val="32"/>
          <w:szCs w:val="32"/>
        </w:rPr>
        <w:t>国有资产占用使用及新增资产配置情况：</w:t>
      </w:r>
      <w:r>
        <w:rPr>
          <w:rFonts w:ascii="仿宋_GB2312" w:eastAsia="仿宋_GB2312"/>
          <w:bCs/>
          <w:sz w:val="32"/>
          <w:szCs w:val="32"/>
        </w:rPr>
        <w:t>截至202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bCs/>
          <w:sz w:val="32"/>
          <w:szCs w:val="32"/>
        </w:rPr>
        <w:t>年12月底，本部门共有公务用车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辆，其中，机要通信用车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 xml:space="preserve">  辆，应急保障用车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辆，执法执勤用车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辆，特种专业技术用车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辆，其他按照规定配备的公务用车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辆；单位价值50万元以上通用设备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台。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年拟新增配置公务用车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辆，其中，机要通信用车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辆，应急保障用车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辆，执法执勤用车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辆，特种专业技术用车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辆，其他按照规定配备的公务用车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辆；新增配备单位价值50万元以上通用设备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台。</w:t>
      </w:r>
    </w:p>
    <w:p>
      <w:pPr>
        <w:spacing w:line="600" w:lineRule="exact"/>
        <w:ind w:firstLine="707" w:firstLineChars="220"/>
        <w:rPr>
          <w:rFonts w:ascii="仿宋_GB2312" w:eastAsia="仿宋_GB2312"/>
          <w:bCs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（六）</w:t>
      </w:r>
      <w:r>
        <w:rPr>
          <w:rFonts w:ascii="楷体_GB2312" w:eastAsia="楷体_GB2312"/>
          <w:b/>
          <w:bCs/>
          <w:kern w:val="0"/>
          <w:sz w:val="32"/>
          <w:szCs w:val="32"/>
        </w:rPr>
        <w:t>预算绩效目标说明：</w:t>
      </w:r>
      <w:r>
        <w:rPr>
          <w:rFonts w:ascii="仿宋_GB2312" w:eastAsia="仿宋_GB2312"/>
          <w:bCs/>
          <w:sz w:val="32"/>
          <w:szCs w:val="32"/>
        </w:rPr>
        <w:t>本部门所有支出实行绩效目标管理</w:t>
      </w:r>
      <w:r>
        <w:rPr>
          <w:rFonts w:hint="eastAsia" w:ascii="仿宋_GB2312" w:eastAsia="仿宋_GB2312"/>
          <w:bCs/>
          <w:sz w:val="32"/>
          <w:szCs w:val="32"/>
        </w:rPr>
        <w:t xml:space="preserve"> 。</w:t>
      </w:r>
      <w:r>
        <w:rPr>
          <w:rFonts w:ascii="仿宋_GB2312" w:eastAsia="仿宋_GB2312"/>
          <w:bCs/>
          <w:sz w:val="32"/>
          <w:szCs w:val="32"/>
        </w:rPr>
        <w:t>纳入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年部门整体支出绩效目标的金额为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1.37</w:t>
      </w:r>
      <w:r>
        <w:rPr>
          <w:rFonts w:ascii="仿宋_GB2312" w:eastAsia="仿宋_GB2312"/>
          <w:bCs/>
          <w:sz w:val="32"/>
          <w:szCs w:val="32"/>
        </w:rPr>
        <w:t>万元，其中，基本支出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1.39</w:t>
      </w:r>
      <w:r>
        <w:rPr>
          <w:rFonts w:ascii="仿宋_GB2312" w:eastAsia="仿宋_GB2312"/>
          <w:bCs/>
          <w:sz w:val="32"/>
          <w:szCs w:val="32"/>
        </w:rPr>
        <w:t>万元，项目支出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9.98</w:t>
      </w:r>
      <w:r>
        <w:rPr>
          <w:rFonts w:ascii="仿宋_GB2312" w:eastAsia="仿宋_GB2312"/>
          <w:bCs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70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第二部分</w:t>
      </w:r>
      <w:r>
        <w:rPr>
          <w:rFonts w:hint="eastAsia" w:eastAsia="黑体"/>
          <w:bCs/>
          <w:kern w:val="0"/>
          <w:sz w:val="32"/>
          <w:szCs w:val="32"/>
        </w:rPr>
        <w:t xml:space="preserve"> 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hint="eastAsia" w:eastAsia="黑体"/>
          <w:bCs/>
          <w:kern w:val="0"/>
          <w:sz w:val="32"/>
          <w:szCs w:val="32"/>
        </w:rPr>
        <w:t>202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4</w:t>
      </w:r>
      <w:r>
        <w:rPr>
          <w:rFonts w:eastAsia="黑体"/>
          <w:bCs/>
          <w:kern w:val="0"/>
          <w:sz w:val="32"/>
          <w:szCs w:val="32"/>
        </w:rPr>
        <w:t>年部门预算表</w:t>
      </w:r>
    </w:p>
    <w:p>
      <w:pPr>
        <w:widowControl/>
        <w:spacing w:line="600" w:lineRule="exact"/>
        <w:jc w:val="center"/>
        <w:rPr>
          <w:rFonts w:hint="eastAsia" w:eastAsia="黑体"/>
          <w:bCs/>
          <w:kern w:val="0"/>
          <w:sz w:val="32"/>
          <w:szCs w:val="32"/>
        </w:rPr>
      </w:pPr>
    </w:p>
    <w:p>
      <w:pPr>
        <w:spacing w:line="600" w:lineRule="exact"/>
        <w:rPr>
          <w:rFonts w:hint="eastAsia"/>
        </w:rPr>
      </w:pPr>
      <w:r>
        <w:rPr>
          <w:rFonts w:hint="eastAsia"/>
        </w:rPr>
        <w:t>（上传附件）</w:t>
      </w:r>
    </w:p>
    <w:p>
      <w:pPr>
        <w:spacing w:line="60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A5648"/>
    <w:multiLevelType w:val="singleLevel"/>
    <w:tmpl w:val="626A56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TdlMTA4NjVhYTk1MzQxZTNlOWIxZTA0ZWNjOWQifQ=="/>
  </w:docVars>
  <w:rsids>
    <w:rsidRoot w:val="00172A27"/>
    <w:rsid w:val="000022B9"/>
    <w:rsid w:val="00025999"/>
    <w:rsid w:val="00034614"/>
    <w:rsid w:val="00037C7A"/>
    <w:rsid w:val="000764C6"/>
    <w:rsid w:val="00080C74"/>
    <w:rsid w:val="00083A25"/>
    <w:rsid w:val="000B0731"/>
    <w:rsid w:val="000C4AE2"/>
    <w:rsid w:val="0014543A"/>
    <w:rsid w:val="00151CBC"/>
    <w:rsid w:val="00153303"/>
    <w:rsid w:val="00153671"/>
    <w:rsid w:val="001633B3"/>
    <w:rsid w:val="001704F9"/>
    <w:rsid w:val="00184FD5"/>
    <w:rsid w:val="001F6F2F"/>
    <w:rsid w:val="002001EF"/>
    <w:rsid w:val="00206441"/>
    <w:rsid w:val="002862C6"/>
    <w:rsid w:val="00290F4B"/>
    <w:rsid w:val="002B4443"/>
    <w:rsid w:val="002D1202"/>
    <w:rsid w:val="00327295"/>
    <w:rsid w:val="003A55F2"/>
    <w:rsid w:val="003E2F6B"/>
    <w:rsid w:val="003F38A7"/>
    <w:rsid w:val="003F7E05"/>
    <w:rsid w:val="00414F0B"/>
    <w:rsid w:val="00422E20"/>
    <w:rsid w:val="00423E64"/>
    <w:rsid w:val="0043177C"/>
    <w:rsid w:val="00440598"/>
    <w:rsid w:val="004631A1"/>
    <w:rsid w:val="004952E3"/>
    <w:rsid w:val="004A1A20"/>
    <w:rsid w:val="004A37E9"/>
    <w:rsid w:val="004B238D"/>
    <w:rsid w:val="004C0683"/>
    <w:rsid w:val="004C3294"/>
    <w:rsid w:val="004E3CE4"/>
    <w:rsid w:val="00506544"/>
    <w:rsid w:val="00537B20"/>
    <w:rsid w:val="00566F57"/>
    <w:rsid w:val="00572188"/>
    <w:rsid w:val="005B4B5B"/>
    <w:rsid w:val="005C4EB2"/>
    <w:rsid w:val="005C7CCA"/>
    <w:rsid w:val="005E6554"/>
    <w:rsid w:val="005F7DA9"/>
    <w:rsid w:val="00601325"/>
    <w:rsid w:val="0062001D"/>
    <w:rsid w:val="00630977"/>
    <w:rsid w:val="00647632"/>
    <w:rsid w:val="006527A6"/>
    <w:rsid w:val="00681BFA"/>
    <w:rsid w:val="006D5BC6"/>
    <w:rsid w:val="007039FE"/>
    <w:rsid w:val="00724687"/>
    <w:rsid w:val="00726174"/>
    <w:rsid w:val="00736FA5"/>
    <w:rsid w:val="00755F55"/>
    <w:rsid w:val="00781723"/>
    <w:rsid w:val="007940F2"/>
    <w:rsid w:val="007A66D7"/>
    <w:rsid w:val="007B4CD3"/>
    <w:rsid w:val="007B6779"/>
    <w:rsid w:val="007C6FB3"/>
    <w:rsid w:val="00800793"/>
    <w:rsid w:val="0080797E"/>
    <w:rsid w:val="008267AF"/>
    <w:rsid w:val="00833870"/>
    <w:rsid w:val="0085520B"/>
    <w:rsid w:val="00855D45"/>
    <w:rsid w:val="00874AD9"/>
    <w:rsid w:val="00883BAF"/>
    <w:rsid w:val="008872A3"/>
    <w:rsid w:val="00897FF8"/>
    <w:rsid w:val="00912994"/>
    <w:rsid w:val="00932625"/>
    <w:rsid w:val="00933D20"/>
    <w:rsid w:val="00951A29"/>
    <w:rsid w:val="00954C45"/>
    <w:rsid w:val="00954D7D"/>
    <w:rsid w:val="009B7871"/>
    <w:rsid w:val="009C5A0D"/>
    <w:rsid w:val="009F6081"/>
    <w:rsid w:val="00A01A6E"/>
    <w:rsid w:val="00A02EC6"/>
    <w:rsid w:val="00A05EFE"/>
    <w:rsid w:val="00A133D1"/>
    <w:rsid w:val="00A16EB9"/>
    <w:rsid w:val="00A211B1"/>
    <w:rsid w:val="00A24F95"/>
    <w:rsid w:val="00A25E3A"/>
    <w:rsid w:val="00A261A8"/>
    <w:rsid w:val="00A73AD9"/>
    <w:rsid w:val="00A76E89"/>
    <w:rsid w:val="00A867F1"/>
    <w:rsid w:val="00A90A98"/>
    <w:rsid w:val="00A94758"/>
    <w:rsid w:val="00AA099B"/>
    <w:rsid w:val="00AB249A"/>
    <w:rsid w:val="00AB2D94"/>
    <w:rsid w:val="00AC59AF"/>
    <w:rsid w:val="00AD2E80"/>
    <w:rsid w:val="00AD3986"/>
    <w:rsid w:val="00AF59D2"/>
    <w:rsid w:val="00AF662B"/>
    <w:rsid w:val="00B173EA"/>
    <w:rsid w:val="00B25D29"/>
    <w:rsid w:val="00B63868"/>
    <w:rsid w:val="00BA0CC5"/>
    <w:rsid w:val="00BA35FF"/>
    <w:rsid w:val="00BA49A5"/>
    <w:rsid w:val="00BD1A7A"/>
    <w:rsid w:val="00C057E1"/>
    <w:rsid w:val="00C45712"/>
    <w:rsid w:val="00C461B1"/>
    <w:rsid w:val="00C502E6"/>
    <w:rsid w:val="00CA00AA"/>
    <w:rsid w:val="00CB1E1C"/>
    <w:rsid w:val="00CD305F"/>
    <w:rsid w:val="00CD5B2D"/>
    <w:rsid w:val="00D472E6"/>
    <w:rsid w:val="00D51002"/>
    <w:rsid w:val="00D54532"/>
    <w:rsid w:val="00D6000D"/>
    <w:rsid w:val="00D6241C"/>
    <w:rsid w:val="00D64B55"/>
    <w:rsid w:val="00D65319"/>
    <w:rsid w:val="00D75C8F"/>
    <w:rsid w:val="00D83031"/>
    <w:rsid w:val="00DA1AE3"/>
    <w:rsid w:val="00DB52CA"/>
    <w:rsid w:val="00DE2ACC"/>
    <w:rsid w:val="00DF3218"/>
    <w:rsid w:val="00DF6AC9"/>
    <w:rsid w:val="00E12FB9"/>
    <w:rsid w:val="00E33A41"/>
    <w:rsid w:val="00E40D8D"/>
    <w:rsid w:val="00E6144F"/>
    <w:rsid w:val="00E752E5"/>
    <w:rsid w:val="00E8260A"/>
    <w:rsid w:val="00E83486"/>
    <w:rsid w:val="00EA217D"/>
    <w:rsid w:val="00EC0BFA"/>
    <w:rsid w:val="00EC552C"/>
    <w:rsid w:val="00ED0A8C"/>
    <w:rsid w:val="00ED1797"/>
    <w:rsid w:val="00F00837"/>
    <w:rsid w:val="00F06CDC"/>
    <w:rsid w:val="00F10AC1"/>
    <w:rsid w:val="00F15BE4"/>
    <w:rsid w:val="00F24A6F"/>
    <w:rsid w:val="00F72E34"/>
    <w:rsid w:val="00F73DBC"/>
    <w:rsid w:val="00F90582"/>
    <w:rsid w:val="00FA6159"/>
    <w:rsid w:val="00FB0CAC"/>
    <w:rsid w:val="00FC06EE"/>
    <w:rsid w:val="00FC18E5"/>
    <w:rsid w:val="00FC623E"/>
    <w:rsid w:val="00FC6E95"/>
    <w:rsid w:val="00FF6FAB"/>
    <w:rsid w:val="05CD13A3"/>
    <w:rsid w:val="08CE7CA0"/>
    <w:rsid w:val="1077634E"/>
    <w:rsid w:val="1C7F77CD"/>
    <w:rsid w:val="204C60AC"/>
    <w:rsid w:val="235324F1"/>
    <w:rsid w:val="2B854962"/>
    <w:rsid w:val="2CE771EE"/>
    <w:rsid w:val="2DBD036B"/>
    <w:rsid w:val="33AC0E17"/>
    <w:rsid w:val="4BE5530D"/>
    <w:rsid w:val="4D366A2A"/>
    <w:rsid w:val="5E13213F"/>
    <w:rsid w:val="5E753EF3"/>
    <w:rsid w:val="63702F31"/>
    <w:rsid w:val="6C400AD3"/>
    <w:rsid w:val="6D4A7122"/>
    <w:rsid w:val="6E3D3CC8"/>
    <w:rsid w:val="7434612B"/>
    <w:rsid w:val="793B3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ody Text"/>
    <w:basedOn w:val="1"/>
    <w:link w:val="15"/>
    <w:uiPriority w:val="0"/>
    <w:pPr>
      <w:spacing w:after="120" w:afterLines="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9"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character" w:customStyle="1" w:styleId="14">
    <w:name w:val="批注文字 Char"/>
    <w:basedOn w:val="10"/>
    <w:link w:val="2"/>
    <w:uiPriority w:val="0"/>
    <w:rPr>
      <w:kern w:val="2"/>
      <w:sz w:val="21"/>
      <w:szCs w:val="24"/>
    </w:rPr>
  </w:style>
  <w:style w:type="character" w:customStyle="1" w:styleId="15">
    <w:name w:val="正文文本 Char"/>
    <w:link w:val="3"/>
    <w:uiPriority w:val="0"/>
    <w:rPr>
      <w:kern w:val="2"/>
      <w:sz w:val="21"/>
      <w:szCs w:val="24"/>
    </w:rPr>
  </w:style>
  <w:style w:type="character" w:customStyle="1" w:styleId="16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7">
    <w:name w:val="页脚 Char"/>
    <w:link w:val="5"/>
    <w:uiPriority w:val="99"/>
    <w:rPr>
      <w:kern w:val="2"/>
      <w:sz w:val="18"/>
      <w:szCs w:val="18"/>
    </w:rPr>
  </w:style>
  <w:style w:type="character" w:customStyle="1" w:styleId="18">
    <w:name w:val="页眉 Char"/>
    <w:link w:val="6"/>
    <w:uiPriority w:val="99"/>
    <w:rPr>
      <w:kern w:val="2"/>
      <w:sz w:val="18"/>
      <w:szCs w:val="18"/>
    </w:rPr>
  </w:style>
  <w:style w:type="character" w:customStyle="1" w:styleId="19">
    <w:name w:val="批注主题 Char"/>
    <w:basedOn w:val="14"/>
    <w:link w:val="8"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2">
    <w:name w:val="表格内容"/>
    <w:basedOn w:val="3"/>
    <w:uiPriority w:val="0"/>
    <w:pPr>
      <w:suppressLineNumbers/>
      <w:suppressAutoHyphens/>
      <w:jc w:val="left"/>
    </w:pPr>
    <w:rPr>
      <w:rFonts w:cs="Tahoma"/>
      <w:kern w:val="0"/>
      <w:sz w:val="24"/>
      <w:lang/>
    </w:rPr>
  </w:style>
  <w:style w:type="character" w:customStyle="1" w:styleId="23">
    <w:name w:val="15"/>
    <w:basedOn w:val="10"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470</Words>
  <Characters>2680</Characters>
  <Lines>22</Lines>
  <Paragraphs>6</Paragraphs>
  <TotalTime>1</TotalTime>
  <ScaleCrop>false</ScaleCrop>
  <LinksUpToDate>false</LinksUpToDate>
  <CharactersWithSpaces>3144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2023-03-29T08:27:00Z</dcterms:created>
  <dc:creator>Administrator</dc:creator>
  <cp:lastModifiedBy>18673684787</cp:lastModifiedBy>
  <cp:lastPrinted>2021-05-16T11:47:00Z</cp:lastPrinted>
  <dcterms:modified xsi:type="dcterms:W3CDTF">2024-05-14T08:45:27Z</dcterms:modified>
  <dc:title>湖南省财政厅发文（指标、函）稿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317D6577043C447C95C82FD35E360742_13</vt:lpwstr>
  </property>
</Properties>
</file>