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D43EF">
      <w:pPr>
        <w:pStyle w:val="15"/>
        <w:jc w:val="center"/>
        <w:rPr>
          <w:sz w:val="56"/>
          <w:szCs w:val="56"/>
          <w:highlight w:val="none"/>
        </w:rPr>
      </w:pPr>
    </w:p>
    <w:p w14:paraId="1C899D4B">
      <w:pPr>
        <w:pStyle w:val="15"/>
        <w:jc w:val="center"/>
        <w:rPr>
          <w:sz w:val="56"/>
          <w:szCs w:val="56"/>
          <w:highlight w:val="none"/>
        </w:rPr>
      </w:pPr>
    </w:p>
    <w:p w14:paraId="3444B134">
      <w:pPr>
        <w:pStyle w:val="15"/>
        <w:jc w:val="center"/>
        <w:rPr>
          <w:sz w:val="84"/>
          <w:szCs w:val="84"/>
          <w:highlight w:val="none"/>
        </w:rPr>
      </w:pPr>
    </w:p>
    <w:p w14:paraId="3AEE9519">
      <w:pPr>
        <w:pStyle w:val="15"/>
        <w:jc w:val="center"/>
        <w:rPr>
          <w:sz w:val="84"/>
          <w:szCs w:val="84"/>
          <w:highlight w:val="none"/>
        </w:rPr>
      </w:pPr>
    </w:p>
    <w:p w14:paraId="3D571429">
      <w:pPr>
        <w:pStyle w:val="15"/>
        <w:jc w:val="center"/>
        <w:rPr>
          <w:sz w:val="84"/>
          <w:szCs w:val="84"/>
          <w:highlight w:val="none"/>
        </w:rPr>
      </w:pPr>
      <w:r>
        <w:rPr>
          <w:rFonts w:hint="eastAsia"/>
          <w:sz w:val="84"/>
          <w:szCs w:val="84"/>
          <w:highlight w:val="none"/>
        </w:rPr>
        <w:t>2022年度</w:t>
      </w:r>
    </w:p>
    <w:p w14:paraId="518E9510">
      <w:pPr>
        <w:pStyle w:val="15"/>
        <w:jc w:val="center"/>
        <w:rPr>
          <w:sz w:val="84"/>
          <w:szCs w:val="84"/>
          <w:highlight w:val="none"/>
        </w:rPr>
      </w:pPr>
    </w:p>
    <w:p w14:paraId="0F4FF2E8">
      <w:pPr>
        <w:pStyle w:val="15"/>
        <w:jc w:val="center"/>
        <w:rPr>
          <w:sz w:val="84"/>
          <w:szCs w:val="84"/>
          <w:highlight w:val="none"/>
        </w:rPr>
      </w:pPr>
      <w:r>
        <w:rPr>
          <w:rFonts w:hint="eastAsia"/>
          <w:sz w:val="84"/>
          <w:szCs w:val="84"/>
          <w:highlight w:val="none"/>
        </w:rPr>
        <w:t>桃源县农村经营服务站</w:t>
      </w:r>
    </w:p>
    <w:p w14:paraId="3208C9B1">
      <w:pPr>
        <w:pStyle w:val="15"/>
        <w:jc w:val="center"/>
        <w:rPr>
          <w:sz w:val="84"/>
          <w:szCs w:val="84"/>
          <w:highlight w:val="none"/>
        </w:rPr>
      </w:pPr>
    </w:p>
    <w:p w14:paraId="1DE0A253">
      <w:pPr>
        <w:pStyle w:val="15"/>
        <w:jc w:val="center"/>
        <w:rPr>
          <w:sz w:val="84"/>
          <w:szCs w:val="84"/>
          <w:highlight w:val="none"/>
        </w:rPr>
      </w:pPr>
      <w:r>
        <w:rPr>
          <w:rFonts w:hint="eastAsia"/>
          <w:sz w:val="84"/>
          <w:szCs w:val="84"/>
          <w:highlight w:val="none"/>
        </w:rPr>
        <w:t>部门决算</w:t>
      </w:r>
    </w:p>
    <w:p w14:paraId="12EECFC9">
      <w:pPr>
        <w:pStyle w:val="15"/>
        <w:jc w:val="center"/>
        <w:rPr>
          <w:sz w:val="56"/>
          <w:szCs w:val="56"/>
          <w:highlight w:val="none"/>
        </w:rPr>
      </w:pPr>
    </w:p>
    <w:p w14:paraId="0101C640">
      <w:pPr>
        <w:pStyle w:val="15"/>
        <w:jc w:val="center"/>
        <w:rPr>
          <w:sz w:val="56"/>
          <w:szCs w:val="56"/>
          <w:highlight w:val="none"/>
        </w:rPr>
      </w:pPr>
    </w:p>
    <w:p w14:paraId="6DC7C7FF">
      <w:pPr>
        <w:pStyle w:val="15"/>
        <w:jc w:val="center"/>
        <w:rPr>
          <w:sz w:val="56"/>
          <w:szCs w:val="56"/>
          <w:highlight w:val="none"/>
        </w:rPr>
      </w:pPr>
    </w:p>
    <w:p w14:paraId="47443ACA">
      <w:pPr>
        <w:pStyle w:val="15"/>
        <w:jc w:val="center"/>
        <w:rPr>
          <w:sz w:val="56"/>
          <w:szCs w:val="56"/>
          <w:highlight w:val="none"/>
        </w:rPr>
      </w:pPr>
    </w:p>
    <w:p w14:paraId="0924E8BA">
      <w:pPr>
        <w:pStyle w:val="15"/>
        <w:spacing w:line="500" w:lineRule="exact"/>
        <w:jc w:val="center"/>
        <w:rPr>
          <w:b/>
          <w:sz w:val="36"/>
          <w:szCs w:val="28"/>
          <w:highlight w:val="none"/>
        </w:rPr>
      </w:pPr>
    </w:p>
    <w:p w14:paraId="2D625D6A">
      <w:pPr>
        <w:pStyle w:val="15"/>
        <w:spacing w:line="500" w:lineRule="exact"/>
        <w:jc w:val="center"/>
        <w:rPr>
          <w:b/>
          <w:sz w:val="36"/>
          <w:szCs w:val="28"/>
          <w:highlight w:val="none"/>
        </w:rPr>
      </w:pPr>
      <w:r>
        <w:rPr>
          <w:rFonts w:hint="eastAsia"/>
          <w:b/>
          <w:sz w:val="36"/>
          <w:szCs w:val="28"/>
          <w:highlight w:val="none"/>
        </w:rPr>
        <w:t>目录</w:t>
      </w:r>
    </w:p>
    <w:p w14:paraId="2599D0EA">
      <w:pPr>
        <w:pStyle w:val="15"/>
        <w:spacing w:line="500" w:lineRule="exact"/>
        <w:rPr>
          <w:rFonts w:ascii="仿宋_GB2312" w:hAnsi="仿宋_GB2312" w:cs="仿宋_GB2312"/>
          <w:b/>
          <w:sz w:val="28"/>
          <w:szCs w:val="28"/>
          <w:highlight w:val="none"/>
        </w:rPr>
      </w:pPr>
      <w:r>
        <w:rPr>
          <w:rFonts w:hint="eastAsia"/>
          <w:b/>
          <w:sz w:val="28"/>
          <w:szCs w:val="28"/>
          <w:highlight w:val="none"/>
        </w:rPr>
        <w:t>第一部分 单位概况</w:t>
      </w:r>
    </w:p>
    <w:p w14:paraId="5375F932">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一、部门职责</w:t>
      </w:r>
    </w:p>
    <w:p w14:paraId="29DF3BBC">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二、机构设置</w:t>
      </w:r>
      <w:r>
        <w:rPr>
          <w:rFonts w:hint="eastAsia" w:cs="仿宋_GB2312" w:asciiTheme="minorEastAsia" w:hAnsiTheme="minorEastAsia" w:eastAsiaTheme="minorEastAsia"/>
          <w:sz w:val="28"/>
          <w:szCs w:val="28"/>
          <w:highlight w:val="none"/>
        </w:rPr>
        <w:t>及决算单位构成</w:t>
      </w:r>
    </w:p>
    <w:p w14:paraId="60305C6F">
      <w:pPr>
        <w:pStyle w:val="15"/>
        <w:spacing w:line="500" w:lineRule="exact"/>
        <w:rPr>
          <w:rFonts w:ascii="仿宋_GB2312" w:hAnsi="仿宋_GB2312" w:cs="仿宋_GB2312"/>
          <w:b/>
          <w:sz w:val="28"/>
          <w:szCs w:val="28"/>
          <w:highlight w:val="none"/>
        </w:rPr>
      </w:pPr>
      <w:r>
        <w:rPr>
          <w:rFonts w:hint="eastAsia" w:hAnsi="仿宋_GB2312"/>
          <w:b/>
          <w:sz w:val="28"/>
          <w:szCs w:val="28"/>
          <w:highlight w:val="none"/>
        </w:rPr>
        <w:t xml:space="preserve">第二部分 </w:t>
      </w:r>
      <w:r>
        <w:rPr>
          <w:rFonts w:hAnsi="仿宋_GB2312"/>
          <w:b/>
          <w:sz w:val="28"/>
          <w:szCs w:val="28"/>
          <w:highlight w:val="none"/>
        </w:rPr>
        <w:t>20</w:t>
      </w:r>
      <w:r>
        <w:rPr>
          <w:rFonts w:hint="eastAsia" w:hAnsi="仿宋_GB2312"/>
          <w:b/>
          <w:sz w:val="28"/>
          <w:szCs w:val="28"/>
          <w:highlight w:val="none"/>
        </w:rPr>
        <w:t>22年度部门决算表</w:t>
      </w:r>
    </w:p>
    <w:p w14:paraId="588FE144">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一、收入支出决算总表</w:t>
      </w:r>
    </w:p>
    <w:p w14:paraId="5ABD0E44">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二、收入决算表</w:t>
      </w:r>
    </w:p>
    <w:p w14:paraId="2E1BF54D">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三、支出决算表</w:t>
      </w:r>
    </w:p>
    <w:p w14:paraId="1293EC77">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四、财政拨款收入支出决算总表</w:t>
      </w:r>
    </w:p>
    <w:p w14:paraId="7FF37733">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五、一般公共预算财政拨款支出决算表</w:t>
      </w:r>
    </w:p>
    <w:p w14:paraId="4EE94B6D">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六、一般公共预算财政拨款基本支出决算</w:t>
      </w:r>
      <w:r>
        <w:rPr>
          <w:rFonts w:hint="eastAsia" w:cs="仿宋_GB2312" w:asciiTheme="minorEastAsia" w:hAnsiTheme="minorEastAsia" w:eastAsiaTheme="minorEastAsia"/>
          <w:sz w:val="28"/>
          <w:szCs w:val="28"/>
          <w:highlight w:val="none"/>
        </w:rPr>
        <w:t>明细</w:t>
      </w:r>
      <w:r>
        <w:rPr>
          <w:rFonts w:cs="仿宋_GB2312" w:asciiTheme="minorEastAsia" w:hAnsiTheme="minorEastAsia" w:eastAsiaTheme="minorEastAsia"/>
          <w:sz w:val="28"/>
          <w:szCs w:val="28"/>
          <w:highlight w:val="none"/>
        </w:rPr>
        <w:t>表</w:t>
      </w:r>
    </w:p>
    <w:p w14:paraId="11D196F4">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七、一般公共预算财政拨款“三公”经费支出决算表</w:t>
      </w:r>
    </w:p>
    <w:p w14:paraId="5B3B1FAC">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八、政府性基金预算财政拨款收入支出决算表</w:t>
      </w:r>
    </w:p>
    <w:p w14:paraId="00A93526">
      <w:pPr>
        <w:pStyle w:val="15"/>
        <w:spacing w:line="500" w:lineRule="exact"/>
        <w:ind w:firstLine="700" w:firstLineChars="250"/>
        <w:rPr>
          <w:rFonts w:cs="仿宋_GB2312" w:asciiTheme="minorEastAsia" w:hAnsiTheme="minorEastAsia" w:eastAsiaTheme="minorEastAsia"/>
          <w:sz w:val="28"/>
          <w:szCs w:val="28"/>
          <w:highlight w:val="none"/>
        </w:rPr>
      </w:pPr>
      <w:r>
        <w:rPr>
          <w:rFonts w:hint="eastAsia" w:cs="仿宋_GB2312" w:asciiTheme="minorEastAsia" w:hAnsiTheme="minorEastAsia" w:eastAsiaTheme="minorEastAsia"/>
          <w:sz w:val="28"/>
          <w:szCs w:val="28"/>
          <w:highlight w:val="none"/>
        </w:rPr>
        <w:t>九、国有资本经营预算财政拨款支出决算表</w:t>
      </w:r>
    </w:p>
    <w:p w14:paraId="5DB1D926">
      <w:pPr>
        <w:pStyle w:val="15"/>
        <w:spacing w:line="500" w:lineRule="exact"/>
        <w:rPr>
          <w:rFonts w:ascii="仿宋_GB2312" w:hAnsi="仿宋_GB2312" w:cs="仿宋_GB2312"/>
          <w:b/>
          <w:sz w:val="28"/>
          <w:szCs w:val="28"/>
          <w:highlight w:val="none"/>
        </w:rPr>
      </w:pPr>
      <w:r>
        <w:rPr>
          <w:rFonts w:hint="eastAsia" w:hAnsi="仿宋_GB2312"/>
          <w:b/>
          <w:sz w:val="28"/>
          <w:szCs w:val="28"/>
          <w:highlight w:val="none"/>
        </w:rPr>
        <w:t xml:space="preserve">第三部分 </w:t>
      </w:r>
      <w:r>
        <w:rPr>
          <w:rFonts w:hAnsi="仿宋_GB2312"/>
          <w:b/>
          <w:sz w:val="28"/>
          <w:szCs w:val="28"/>
          <w:highlight w:val="none"/>
        </w:rPr>
        <w:t>20</w:t>
      </w:r>
      <w:r>
        <w:rPr>
          <w:rFonts w:hint="eastAsia" w:hAnsi="仿宋_GB2312"/>
          <w:b/>
          <w:sz w:val="28"/>
          <w:szCs w:val="28"/>
          <w:highlight w:val="none"/>
        </w:rPr>
        <w:t>22年度部门决算情况说明</w:t>
      </w:r>
    </w:p>
    <w:p w14:paraId="089A8779">
      <w:pPr>
        <w:pStyle w:val="15"/>
        <w:spacing w:line="500" w:lineRule="exact"/>
        <w:ind w:firstLine="700" w:firstLineChars="250"/>
        <w:rPr>
          <w:rFonts w:cs="仿宋_GB2312" w:asciiTheme="minorEastAsia" w:hAnsiTheme="minorEastAsia" w:eastAsiaTheme="minorEastAsia"/>
          <w:sz w:val="28"/>
          <w:szCs w:val="28"/>
          <w:highlight w:val="none"/>
        </w:rPr>
      </w:pPr>
      <w:r>
        <w:rPr>
          <w:rFonts w:cs="仿宋_GB2312" w:asciiTheme="minorEastAsia" w:hAnsiTheme="minorEastAsia" w:eastAsiaTheme="minorEastAsia"/>
          <w:sz w:val="28"/>
          <w:szCs w:val="28"/>
          <w:highlight w:val="none"/>
        </w:rPr>
        <w:t>一、收入支出决算总体情况说明</w:t>
      </w:r>
    </w:p>
    <w:p w14:paraId="26E6AB79">
      <w:pPr>
        <w:spacing w:line="500" w:lineRule="exact"/>
        <w:ind w:firstLine="700" w:firstLineChars="250"/>
        <w:jc w:val="left"/>
        <w:rPr>
          <w:rFonts w:ascii="仿宋_GB2312" w:hAnsi="仿宋_GB2312" w:cs="仿宋_GB2312"/>
          <w:sz w:val="28"/>
          <w:szCs w:val="28"/>
          <w:highlight w:val="none"/>
        </w:rPr>
      </w:pPr>
      <w:r>
        <w:rPr>
          <w:rFonts w:ascii="仿宋_GB2312" w:hAnsi="仿宋_GB2312" w:cs="仿宋_GB2312"/>
          <w:sz w:val="28"/>
          <w:szCs w:val="28"/>
          <w:highlight w:val="none"/>
        </w:rPr>
        <w:t>二、收入决算情况说明</w:t>
      </w:r>
    </w:p>
    <w:p w14:paraId="60AE9027">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三、支出决算情况说明</w:t>
      </w:r>
    </w:p>
    <w:p w14:paraId="6347685E">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四、财政拨款收入支出决算总体情况说明</w:t>
      </w:r>
    </w:p>
    <w:p w14:paraId="5F988C52">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五、一般公共预算财政拨款支出决算情况说明</w:t>
      </w:r>
    </w:p>
    <w:p w14:paraId="3886A7C0">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六、一般公共预算财政拨款基本支出决算情况说明</w:t>
      </w:r>
    </w:p>
    <w:p w14:paraId="053B4C06">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ascii="仿宋_GB2312" w:hAnsi="仿宋_GB2312" w:cs="仿宋_GB2312"/>
          <w:color w:val="000000"/>
          <w:kern w:val="0"/>
          <w:sz w:val="28"/>
          <w:szCs w:val="28"/>
          <w:highlight w:val="none"/>
        </w:rPr>
        <w:t>七、一般公共预算财政拨款</w:t>
      </w:r>
      <w:r>
        <w:rPr>
          <w:rFonts w:hint="eastAsia" w:ascii="仿宋_GB2312" w:hAnsi="仿宋_GB2312" w:cs="仿宋_GB2312"/>
          <w:color w:val="000000"/>
          <w:kern w:val="0"/>
          <w:sz w:val="28"/>
          <w:szCs w:val="28"/>
          <w:highlight w:val="none"/>
        </w:rPr>
        <w:t>“</w:t>
      </w:r>
      <w:r>
        <w:rPr>
          <w:rFonts w:ascii="仿宋_GB2312" w:hAnsi="仿宋_GB2312" w:cs="仿宋_GB2312"/>
          <w:color w:val="000000"/>
          <w:kern w:val="0"/>
          <w:sz w:val="28"/>
          <w:szCs w:val="28"/>
          <w:highlight w:val="none"/>
        </w:rPr>
        <w:t>三公</w:t>
      </w:r>
      <w:r>
        <w:rPr>
          <w:rFonts w:hint="eastAsia" w:ascii="仿宋_GB2312" w:hAnsi="仿宋_GB2312" w:cs="仿宋_GB2312"/>
          <w:color w:val="000000"/>
          <w:kern w:val="0"/>
          <w:sz w:val="28"/>
          <w:szCs w:val="28"/>
          <w:highlight w:val="none"/>
        </w:rPr>
        <w:t>”</w:t>
      </w:r>
      <w:r>
        <w:rPr>
          <w:rFonts w:ascii="仿宋_GB2312" w:hAnsi="仿宋_GB2312" w:cs="仿宋_GB2312"/>
          <w:color w:val="000000"/>
          <w:kern w:val="0"/>
          <w:sz w:val="28"/>
          <w:szCs w:val="28"/>
          <w:highlight w:val="none"/>
        </w:rPr>
        <w:t>经费支出决算情况说明</w:t>
      </w:r>
    </w:p>
    <w:p w14:paraId="01426434">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八</w:t>
      </w:r>
      <w:r>
        <w:rPr>
          <w:rFonts w:ascii="仿宋_GB2312" w:hAnsi="仿宋_GB2312" w:cs="仿宋_GB2312"/>
          <w:color w:val="000000"/>
          <w:kern w:val="0"/>
          <w:sz w:val="28"/>
          <w:szCs w:val="28"/>
          <w:highlight w:val="none"/>
        </w:rPr>
        <w:t>、</w:t>
      </w:r>
      <w:r>
        <w:rPr>
          <w:rFonts w:hint="eastAsia" w:ascii="仿宋_GB2312" w:hAnsi="仿宋_GB2312" w:cs="仿宋_GB2312"/>
          <w:color w:val="000000"/>
          <w:kern w:val="0"/>
          <w:sz w:val="28"/>
          <w:szCs w:val="28"/>
          <w:highlight w:val="none"/>
        </w:rPr>
        <w:t>政府性基金预算收入支出决算情况</w:t>
      </w:r>
    </w:p>
    <w:p w14:paraId="7F18F184">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九</w:t>
      </w:r>
      <w:r>
        <w:rPr>
          <w:rFonts w:ascii="仿宋_GB2312" w:hAnsi="仿宋_GB2312" w:cs="仿宋_GB2312"/>
          <w:color w:val="000000"/>
          <w:kern w:val="0"/>
          <w:sz w:val="28"/>
          <w:szCs w:val="28"/>
          <w:highlight w:val="none"/>
        </w:rPr>
        <w:t>、</w:t>
      </w:r>
      <w:r>
        <w:rPr>
          <w:rFonts w:hint="eastAsia" w:ascii="仿宋_GB2312" w:hAnsi="仿宋_GB2312" w:cs="仿宋_GB2312"/>
          <w:color w:val="000000"/>
          <w:kern w:val="0"/>
          <w:sz w:val="28"/>
          <w:szCs w:val="28"/>
          <w:highlight w:val="none"/>
        </w:rPr>
        <w:t>机关运行经费支出说明</w:t>
      </w:r>
    </w:p>
    <w:p w14:paraId="1078B8AE">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十、一般性支出情况说明</w:t>
      </w:r>
    </w:p>
    <w:p w14:paraId="5285AE83">
      <w:pPr>
        <w:autoSpaceDE w:val="0"/>
        <w:autoSpaceDN w:val="0"/>
        <w:adjustRightInd w:val="0"/>
        <w:spacing w:line="500" w:lineRule="exact"/>
        <w:ind w:firstLine="700" w:firstLineChars="250"/>
        <w:jc w:val="left"/>
        <w:rPr>
          <w:rFonts w:ascii="仿宋_GB2312" w:hAnsi="仿宋_GB2312" w:cs="仿宋_GB2312"/>
          <w:color w:val="000000"/>
          <w:kern w:val="0"/>
          <w:sz w:val="28"/>
          <w:szCs w:val="28"/>
          <w:highlight w:val="none"/>
        </w:rPr>
      </w:pPr>
      <w:r>
        <w:rPr>
          <w:rFonts w:hint="eastAsia" w:ascii="仿宋_GB2312" w:hAnsi="仿宋_GB2312" w:cs="仿宋_GB2312"/>
          <w:color w:val="000000"/>
          <w:kern w:val="0"/>
          <w:sz w:val="28"/>
          <w:szCs w:val="28"/>
          <w:highlight w:val="none"/>
        </w:rPr>
        <w:t>十一、政府采购支出说明</w:t>
      </w:r>
    </w:p>
    <w:p w14:paraId="531EF544">
      <w:pPr>
        <w:pStyle w:val="15"/>
        <w:spacing w:line="500" w:lineRule="exact"/>
        <w:ind w:firstLine="700" w:firstLineChars="250"/>
        <w:rPr>
          <w:rFonts w:ascii="仿宋_GB2312" w:hAnsi="仿宋_GB2312" w:cs="仿宋_GB2312" w:eastAsiaTheme="minorEastAsia"/>
          <w:sz w:val="28"/>
          <w:szCs w:val="28"/>
          <w:highlight w:val="none"/>
        </w:rPr>
      </w:pPr>
      <w:r>
        <w:rPr>
          <w:rFonts w:hint="eastAsia" w:ascii="仿宋_GB2312" w:hAnsi="仿宋_GB2312" w:cs="仿宋_GB2312" w:eastAsiaTheme="minorEastAsia"/>
          <w:sz w:val="28"/>
          <w:szCs w:val="28"/>
          <w:highlight w:val="none"/>
        </w:rPr>
        <w:t>十二、国有资产占用情况说明</w:t>
      </w:r>
    </w:p>
    <w:p w14:paraId="6D61504B">
      <w:pPr>
        <w:pStyle w:val="15"/>
        <w:spacing w:line="500" w:lineRule="exact"/>
        <w:ind w:firstLine="700" w:firstLineChars="250"/>
        <w:rPr>
          <w:rFonts w:ascii="仿宋_GB2312" w:hAnsi="仿宋_GB2312" w:cs="仿宋_GB2312" w:eastAsiaTheme="minorEastAsia"/>
          <w:sz w:val="28"/>
          <w:szCs w:val="28"/>
          <w:highlight w:val="none"/>
        </w:rPr>
      </w:pPr>
      <w:r>
        <w:rPr>
          <w:rFonts w:hint="eastAsia" w:ascii="仿宋_GB2312" w:hAnsi="仿宋_GB2312" w:cs="仿宋_GB2312" w:eastAsiaTheme="minorEastAsia"/>
          <w:sz w:val="28"/>
          <w:szCs w:val="28"/>
          <w:highlight w:val="none"/>
        </w:rPr>
        <w:t>十三、</w:t>
      </w:r>
      <w:r>
        <w:rPr>
          <w:rFonts w:hint="eastAsia" w:cs="仿宋_GB2312" w:asciiTheme="minorEastAsia" w:hAnsiTheme="minorEastAsia" w:eastAsiaTheme="minorEastAsia"/>
          <w:sz w:val="28"/>
          <w:szCs w:val="28"/>
          <w:highlight w:val="none"/>
        </w:rPr>
        <w:t>2022年</w:t>
      </w:r>
      <w:r>
        <w:rPr>
          <w:rFonts w:hint="eastAsia" w:ascii="仿宋_GB2312" w:hAnsi="仿宋_GB2312" w:cs="仿宋_GB2312" w:eastAsiaTheme="minorEastAsia"/>
          <w:sz w:val="28"/>
          <w:szCs w:val="28"/>
          <w:highlight w:val="none"/>
        </w:rPr>
        <w:t>度预算绩效情况说明</w:t>
      </w:r>
    </w:p>
    <w:p w14:paraId="6DA08A13">
      <w:pPr>
        <w:autoSpaceDE w:val="0"/>
        <w:autoSpaceDN w:val="0"/>
        <w:adjustRightInd w:val="0"/>
        <w:spacing w:line="500" w:lineRule="exact"/>
        <w:jc w:val="left"/>
        <w:rPr>
          <w:rFonts w:ascii="黑体" w:hAnsi="黑体" w:eastAsia="黑体" w:cs="黑体"/>
          <w:b/>
          <w:color w:val="000000"/>
          <w:kern w:val="0"/>
          <w:sz w:val="28"/>
          <w:szCs w:val="28"/>
          <w:highlight w:val="none"/>
        </w:rPr>
      </w:pPr>
      <w:r>
        <w:rPr>
          <w:rFonts w:ascii="黑体" w:hAnsi="黑体" w:eastAsia="黑体" w:cs="黑体"/>
          <w:b/>
          <w:color w:val="000000"/>
          <w:kern w:val="0"/>
          <w:sz w:val="28"/>
          <w:szCs w:val="28"/>
          <w:highlight w:val="none"/>
        </w:rPr>
        <w:t>第四部</w:t>
      </w:r>
      <w:r>
        <w:rPr>
          <w:rFonts w:hint="eastAsia" w:ascii="黑体" w:hAnsi="黑体" w:eastAsia="黑体" w:cs="黑体"/>
          <w:b/>
          <w:color w:val="000000"/>
          <w:kern w:val="0"/>
          <w:sz w:val="28"/>
          <w:szCs w:val="28"/>
          <w:highlight w:val="none"/>
        </w:rPr>
        <w:t xml:space="preserve"> </w:t>
      </w:r>
      <w:r>
        <w:rPr>
          <w:rFonts w:ascii="黑体" w:hAnsi="黑体" w:eastAsia="黑体" w:cs="黑体"/>
          <w:b/>
          <w:color w:val="000000"/>
          <w:kern w:val="0"/>
          <w:sz w:val="28"/>
          <w:szCs w:val="28"/>
          <w:highlight w:val="none"/>
        </w:rPr>
        <w:t>分名词解释</w:t>
      </w:r>
    </w:p>
    <w:p w14:paraId="1DC87C72">
      <w:pPr>
        <w:autoSpaceDE w:val="0"/>
        <w:autoSpaceDN w:val="0"/>
        <w:adjustRightInd w:val="0"/>
        <w:spacing w:line="500" w:lineRule="exact"/>
        <w:jc w:val="left"/>
        <w:rPr>
          <w:rFonts w:ascii="黑体" w:hAnsi="黑体" w:eastAsia="黑体" w:cs="仿宋_GB2312"/>
          <w:b/>
          <w:color w:val="000000"/>
          <w:kern w:val="0"/>
          <w:sz w:val="28"/>
          <w:szCs w:val="28"/>
          <w:highlight w:val="none"/>
        </w:rPr>
      </w:pPr>
      <w:r>
        <w:rPr>
          <w:rFonts w:hint="eastAsia" w:ascii="黑体" w:hAnsi="黑体" w:eastAsia="黑体" w:cs="黑体"/>
          <w:b/>
          <w:color w:val="000000"/>
          <w:kern w:val="0"/>
          <w:sz w:val="28"/>
          <w:szCs w:val="28"/>
          <w:highlight w:val="none"/>
        </w:rPr>
        <w:t>第五部分 附件</w:t>
      </w:r>
    </w:p>
    <w:p w14:paraId="15E7444F">
      <w:pPr>
        <w:rPr>
          <w:sz w:val="72"/>
          <w:szCs w:val="72"/>
          <w:highlight w:val="none"/>
        </w:rPr>
      </w:pPr>
    </w:p>
    <w:p w14:paraId="404B9E5B">
      <w:pPr>
        <w:rPr>
          <w:sz w:val="72"/>
          <w:szCs w:val="72"/>
          <w:highlight w:val="none"/>
        </w:rPr>
      </w:pPr>
    </w:p>
    <w:p w14:paraId="098B0FFD">
      <w:pPr>
        <w:pStyle w:val="2"/>
        <w:rPr>
          <w:highlight w:val="none"/>
        </w:rPr>
      </w:pPr>
    </w:p>
    <w:p w14:paraId="6BDF44F8">
      <w:pPr>
        <w:pStyle w:val="2"/>
        <w:rPr>
          <w:highlight w:val="none"/>
        </w:rPr>
      </w:pPr>
    </w:p>
    <w:p w14:paraId="235819BE">
      <w:pPr>
        <w:pStyle w:val="2"/>
        <w:rPr>
          <w:highlight w:val="none"/>
        </w:rPr>
      </w:pPr>
    </w:p>
    <w:p w14:paraId="4973BEB3">
      <w:pPr>
        <w:pStyle w:val="2"/>
        <w:rPr>
          <w:highlight w:val="none"/>
        </w:rPr>
      </w:pPr>
    </w:p>
    <w:p w14:paraId="1959400D">
      <w:pPr>
        <w:rPr>
          <w:sz w:val="72"/>
          <w:szCs w:val="72"/>
          <w:highlight w:val="none"/>
        </w:rPr>
      </w:pPr>
    </w:p>
    <w:p w14:paraId="0DF1F55B">
      <w:pPr>
        <w:pStyle w:val="15"/>
        <w:jc w:val="center"/>
        <w:rPr>
          <w:sz w:val="84"/>
          <w:szCs w:val="84"/>
          <w:highlight w:val="none"/>
        </w:rPr>
      </w:pPr>
      <w:r>
        <w:rPr>
          <w:rFonts w:hint="eastAsia"/>
          <w:sz w:val="84"/>
          <w:szCs w:val="84"/>
          <w:highlight w:val="none"/>
        </w:rPr>
        <w:t>第一部分</w:t>
      </w:r>
      <w:r>
        <w:rPr>
          <w:sz w:val="84"/>
          <w:szCs w:val="84"/>
          <w:highlight w:val="none"/>
        </w:rPr>
        <w:t xml:space="preserve"> </w:t>
      </w:r>
    </w:p>
    <w:p w14:paraId="5BAE03F6">
      <w:pPr>
        <w:pStyle w:val="15"/>
        <w:jc w:val="center"/>
        <w:rPr>
          <w:sz w:val="84"/>
          <w:szCs w:val="84"/>
          <w:highlight w:val="none"/>
        </w:rPr>
      </w:pPr>
    </w:p>
    <w:p w14:paraId="37E648A7">
      <w:pPr>
        <w:pStyle w:val="15"/>
        <w:jc w:val="center"/>
        <w:rPr>
          <w:sz w:val="84"/>
          <w:szCs w:val="84"/>
          <w:highlight w:val="none"/>
        </w:rPr>
      </w:pPr>
      <w:r>
        <w:rPr>
          <w:rFonts w:hint="eastAsia"/>
          <w:sz w:val="84"/>
          <w:szCs w:val="84"/>
          <w:highlight w:val="none"/>
        </w:rPr>
        <w:t>桃源县农村经营服务站</w:t>
      </w:r>
    </w:p>
    <w:p w14:paraId="17519E0E">
      <w:pPr>
        <w:pStyle w:val="15"/>
        <w:jc w:val="center"/>
        <w:rPr>
          <w:sz w:val="84"/>
          <w:szCs w:val="84"/>
          <w:highlight w:val="none"/>
        </w:rPr>
      </w:pPr>
    </w:p>
    <w:p w14:paraId="4B9D87AB">
      <w:pPr>
        <w:pStyle w:val="15"/>
        <w:jc w:val="center"/>
        <w:rPr>
          <w:sz w:val="84"/>
          <w:szCs w:val="84"/>
          <w:highlight w:val="none"/>
        </w:rPr>
      </w:pPr>
      <w:r>
        <w:rPr>
          <w:rFonts w:hint="eastAsia"/>
          <w:sz w:val="84"/>
          <w:szCs w:val="84"/>
          <w:highlight w:val="none"/>
        </w:rPr>
        <w:t>单位概况</w:t>
      </w:r>
    </w:p>
    <w:p w14:paraId="3773439C">
      <w:pPr>
        <w:jc w:val="center"/>
        <w:rPr>
          <w:sz w:val="72"/>
          <w:szCs w:val="72"/>
          <w:highlight w:val="none"/>
        </w:rPr>
      </w:pPr>
    </w:p>
    <w:p w14:paraId="0A6296CA">
      <w:pPr>
        <w:jc w:val="center"/>
        <w:rPr>
          <w:sz w:val="72"/>
          <w:szCs w:val="72"/>
          <w:highlight w:val="none"/>
        </w:rPr>
      </w:pPr>
    </w:p>
    <w:p w14:paraId="683BA6B3">
      <w:pPr>
        <w:jc w:val="center"/>
        <w:rPr>
          <w:sz w:val="72"/>
          <w:szCs w:val="72"/>
          <w:highlight w:val="none"/>
        </w:rPr>
      </w:pPr>
    </w:p>
    <w:p w14:paraId="5F88AC7F">
      <w:pPr>
        <w:jc w:val="center"/>
        <w:rPr>
          <w:sz w:val="72"/>
          <w:szCs w:val="72"/>
          <w:highlight w:val="none"/>
        </w:rPr>
      </w:pPr>
    </w:p>
    <w:p w14:paraId="636515BB">
      <w:pPr>
        <w:jc w:val="center"/>
        <w:rPr>
          <w:sz w:val="72"/>
          <w:szCs w:val="72"/>
          <w:highlight w:val="none"/>
        </w:rPr>
      </w:pPr>
    </w:p>
    <w:p w14:paraId="497FFDFB">
      <w:pPr>
        <w:pStyle w:val="16"/>
        <w:ind w:left="720" w:firstLine="0" w:firstLineChars="0"/>
        <w:jc w:val="left"/>
        <w:rPr>
          <w:rFonts w:ascii="黑体" w:hAnsi="黑体" w:eastAsia="黑体"/>
          <w:sz w:val="32"/>
          <w:szCs w:val="32"/>
          <w:highlight w:val="none"/>
        </w:rPr>
      </w:pPr>
    </w:p>
    <w:p w14:paraId="676FFFDD">
      <w:pPr>
        <w:pStyle w:val="16"/>
        <w:ind w:left="720" w:firstLine="0" w:firstLineChars="0"/>
        <w:jc w:val="left"/>
        <w:rPr>
          <w:rFonts w:ascii="黑体" w:hAnsi="黑体" w:eastAsia="黑体"/>
          <w:sz w:val="32"/>
          <w:szCs w:val="32"/>
          <w:highlight w:val="none"/>
        </w:rPr>
      </w:pPr>
    </w:p>
    <w:p w14:paraId="2BC7867A">
      <w:pPr>
        <w:pStyle w:val="16"/>
        <w:ind w:firstLine="640"/>
        <w:jc w:val="left"/>
        <w:rPr>
          <w:rFonts w:ascii="黑体" w:hAnsi="黑体" w:eastAsia="黑体"/>
          <w:sz w:val="32"/>
          <w:szCs w:val="32"/>
          <w:highlight w:val="none"/>
        </w:rPr>
      </w:pPr>
      <w:r>
        <w:rPr>
          <w:rFonts w:hint="eastAsia" w:ascii="黑体" w:hAnsi="黑体" w:eastAsia="黑体"/>
          <w:sz w:val="32"/>
          <w:szCs w:val="32"/>
          <w:highlight w:val="none"/>
        </w:rPr>
        <w:t>一、</w:t>
      </w:r>
      <w:r>
        <w:rPr>
          <w:rFonts w:ascii="黑体" w:hAnsi="黑体" w:eastAsia="黑体"/>
          <w:sz w:val="32"/>
          <w:szCs w:val="32"/>
          <w:highlight w:val="none"/>
        </w:rPr>
        <w:t>部门职责</w:t>
      </w:r>
    </w:p>
    <w:p w14:paraId="51C4E078">
      <w:pPr>
        <w:ind w:firstLine="640" w:firstLineChars="200"/>
        <w:jc w:val="left"/>
        <w:rPr>
          <w:rFonts w:asciiTheme="minorEastAsia" w:hAnsiTheme="minorEastAsia"/>
          <w:sz w:val="32"/>
          <w:szCs w:val="32"/>
          <w:highlight w:val="none"/>
        </w:rPr>
      </w:pPr>
      <w:r>
        <w:rPr>
          <w:rFonts w:hint="eastAsia" w:ascii="仿宋_GB2312" w:hAnsi="仿宋_GB2312" w:eastAsia="仿宋_GB2312" w:cs="仿宋_GB2312"/>
          <w:bCs/>
          <w:sz w:val="32"/>
          <w:szCs w:val="32"/>
          <w:highlight w:val="none"/>
        </w:rPr>
        <w:t>桃源县农村经营服务站主要负责全县农民权益维护和负担监督管理、农村承包地管理及纠纷调解仲裁、新型农村经营主体培育、农村土地 “三权分置”改革、农村集体产权制度改革、村级集体经济发展、村级财务审计、农村宅基地管理与改革、农村产权交易等工作。</w:t>
      </w:r>
    </w:p>
    <w:p w14:paraId="07ED0774">
      <w:pPr>
        <w:widowControl/>
        <w:ind w:firstLine="838" w:firstLineChars="262"/>
        <w:rPr>
          <w:rFonts w:ascii="黑体" w:hAnsi="黑体" w:eastAsia="黑体"/>
          <w:bCs/>
          <w:kern w:val="0"/>
          <w:sz w:val="32"/>
          <w:szCs w:val="32"/>
          <w:highlight w:val="none"/>
        </w:rPr>
      </w:pPr>
      <w:r>
        <w:rPr>
          <w:rFonts w:hint="eastAsia" w:ascii="黑体" w:hAnsi="黑体" w:eastAsia="黑体"/>
          <w:bCs/>
          <w:kern w:val="0"/>
          <w:sz w:val="32"/>
          <w:szCs w:val="32"/>
          <w:highlight w:val="none"/>
        </w:rPr>
        <w:t>二、机构设置及决算单位构成</w:t>
      </w:r>
    </w:p>
    <w:p w14:paraId="226B9A8E">
      <w:pPr>
        <w:widowControl/>
        <w:ind w:firstLine="627" w:firstLineChars="196"/>
        <w:jc w:val="left"/>
        <w:rPr>
          <w:rFonts w:asciiTheme="minorEastAsia" w:hAnsiTheme="minorEastAsia"/>
          <w:bCs/>
          <w:kern w:val="0"/>
          <w:sz w:val="32"/>
          <w:szCs w:val="32"/>
          <w:highlight w:val="none"/>
        </w:rPr>
      </w:pPr>
      <w:r>
        <w:rPr>
          <w:rFonts w:hint="eastAsia" w:asciiTheme="minorEastAsia" w:hAnsiTheme="minorEastAsia"/>
          <w:bCs/>
          <w:kern w:val="0"/>
          <w:sz w:val="32"/>
          <w:szCs w:val="32"/>
          <w:highlight w:val="none"/>
        </w:rPr>
        <w:t>（一）内设机构设置。</w:t>
      </w:r>
      <w:r>
        <w:rPr>
          <w:rFonts w:hint="eastAsia" w:ascii="仿宋_GB2312" w:hAnsi="仿宋_GB2312" w:eastAsia="仿宋_GB2312" w:cs="仿宋_GB2312"/>
          <w:sz w:val="32"/>
          <w:szCs w:val="32"/>
          <w:highlight w:val="none"/>
        </w:rPr>
        <w:t>桃源县农村经营服务站内设部室8个，无所属事业单位。内设部室分别是：办公室、计划财务部、农民权益维权服务部、新型经营主体培育部、村级财务指导部、农村土地承包服务部、农村宅基地改革指导部、农村产权交易服务部。</w:t>
      </w:r>
    </w:p>
    <w:p w14:paraId="0824A804">
      <w:pPr>
        <w:widowControl/>
        <w:ind w:firstLine="634"/>
        <w:rPr>
          <w:rFonts w:ascii="仿宋_GB2312" w:eastAsia="仿宋_GB2312" w:hAnsiTheme="minorEastAsia"/>
          <w:sz w:val="28"/>
          <w:szCs w:val="32"/>
          <w:highlight w:val="none"/>
        </w:rPr>
      </w:pPr>
      <w:r>
        <w:rPr>
          <w:rFonts w:hint="eastAsia" w:asciiTheme="minorEastAsia" w:hAnsiTheme="minorEastAsia"/>
          <w:bCs/>
          <w:kern w:val="0"/>
          <w:sz w:val="32"/>
          <w:szCs w:val="32"/>
          <w:highlight w:val="none"/>
        </w:rPr>
        <w:t>（二）决算单位构成。</w:t>
      </w:r>
      <w:r>
        <w:rPr>
          <w:rFonts w:hint="eastAsia" w:ascii="仿宋_GB2312" w:hAnsi="宋体" w:eastAsia="仿宋_GB2312" w:cs="宋体"/>
          <w:color w:val="333333"/>
          <w:kern w:val="0"/>
          <w:sz w:val="32"/>
          <w:szCs w:val="32"/>
          <w:highlight w:val="none"/>
        </w:rPr>
        <w:t>桃源县农村经营服务站2022年部门决算汇总公开单位构成包括：桃源县农村经营服务站本级。</w:t>
      </w:r>
    </w:p>
    <w:p w14:paraId="57187E29">
      <w:pPr>
        <w:jc w:val="center"/>
        <w:rPr>
          <w:rFonts w:ascii="黑体" w:hAnsi="黑体" w:eastAsia="黑体"/>
          <w:sz w:val="28"/>
          <w:szCs w:val="28"/>
          <w:highlight w:val="none"/>
        </w:rPr>
      </w:pPr>
    </w:p>
    <w:p w14:paraId="1EDDC51E">
      <w:pPr>
        <w:jc w:val="center"/>
        <w:rPr>
          <w:rFonts w:ascii="黑体" w:hAnsi="黑体" w:eastAsia="黑体"/>
          <w:sz w:val="28"/>
          <w:szCs w:val="28"/>
          <w:highlight w:val="none"/>
        </w:rPr>
      </w:pPr>
    </w:p>
    <w:p w14:paraId="1974DBDD">
      <w:pPr>
        <w:jc w:val="center"/>
        <w:rPr>
          <w:rFonts w:ascii="黑体" w:hAnsi="黑体" w:eastAsia="黑体"/>
          <w:sz w:val="28"/>
          <w:szCs w:val="28"/>
          <w:highlight w:val="none"/>
        </w:rPr>
      </w:pPr>
    </w:p>
    <w:p w14:paraId="17D62944">
      <w:pPr>
        <w:jc w:val="center"/>
        <w:rPr>
          <w:rFonts w:ascii="黑体" w:hAnsi="黑体" w:eastAsia="黑体"/>
          <w:sz w:val="28"/>
          <w:szCs w:val="28"/>
          <w:highlight w:val="none"/>
        </w:rPr>
      </w:pPr>
    </w:p>
    <w:p w14:paraId="07B2DE66">
      <w:pPr>
        <w:jc w:val="center"/>
        <w:rPr>
          <w:rFonts w:ascii="黑体" w:hAnsi="黑体" w:eastAsia="黑体"/>
          <w:sz w:val="28"/>
          <w:szCs w:val="28"/>
          <w:highlight w:val="none"/>
        </w:rPr>
      </w:pPr>
    </w:p>
    <w:p w14:paraId="05A1EBC5">
      <w:pPr>
        <w:jc w:val="center"/>
        <w:rPr>
          <w:rFonts w:ascii="黑体" w:hAnsi="黑体" w:eastAsia="黑体"/>
          <w:sz w:val="28"/>
          <w:szCs w:val="28"/>
          <w:highlight w:val="none"/>
        </w:rPr>
      </w:pPr>
    </w:p>
    <w:p w14:paraId="74974575">
      <w:pPr>
        <w:jc w:val="center"/>
        <w:rPr>
          <w:rFonts w:ascii="黑体" w:hAnsi="黑体" w:eastAsia="黑体"/>
          <w:sz w:val="28"/>
          <w:szCs w:val="28"/>
          <w:highlight w:val="none"/>
        </w:rPr>
      </w:pPr>
    </w:p>
    <w:p w14:paraId="57708412">
      <w:pPr>
        <w:jc w:val="center"/>
        <w:rPr>
          <w:rFonts w:ascii="黑体" w:hAnsi="黑体" w:eastAsia="黑体"/>
          <w:sz w:val="28"/>
          <w:szCs w:val="28"/>
          <w:highlight w:val="none"/>
        </w:rPr>
      </w:pPr>
    </w:p>
    <w:p w14:paraId="34BFFDFA">
      <w:pPr>
        <w:jc w:val="center"/>
        <w:rPr>
          <w:rFonts w:ascii="黑体" w:hAnsi="黑体" w:eastAsia="黑体"/>
          <w:sz w:val="28"/>
          <w:szCs w:val="28"/>
          <w:highlight w:val="none"/>
        </w:rPr>
      </w:pPr>
    </w:p>
    <w:p w14:paraId="63406F4F">
      <w:pPr>
        <w:jc w:val="center"/>
        <w:rPr>
          <w:rFonts w:ascii="黑体" w:hAnsi="黑体" w:eastAsia="黑体"/>
          <w:sz w:val="28"/>
          <w:szCs w:val="28"/>
          <w:highlight w:val="none"/>
        </w:rPr>
      </w:pPr>
    </w:p>
    <w:p w14:paraId="6472F58A">
      <w:pPr>
        <w:jc w:val="center"/>
        <w:rPr>
          <w:rFonts w:ascii="黑体" w:hAnsi="黑体" w:eastAsia="黑体"/>
          <w:sz w:val="28"/>
          <w:szCs w:val="28"/>
          <w:highlight w:val="none"/>
        </w:rPr>
      </w:pPr>
    </w:p>
    <w:p w14:paraId="3DFAA2A5">
      <w:pPr>
        <w:jc w:val="center"/>
        <w:rPr>
          <w:rFonts w:ascii="黑体" w:hAnsi="黑体" w:eastAsia="黑体"/>
          <w:sz w:val="28"/>
          <w:szCs w:val="28"/>
          <w:highlight w:val="none"/>
        </w:rPr>
      </w:pPr>
    </w:p>
    <w:p w14:paraId="244B8CE5">
      <w:pPr>
        <w:pStyle w:val="2"/>
        <w:rPr>
          <w:highlight w:val="none"/>
        </w:rPr>
      </w:pPr>
    </w:p>
    <w:p w14:paraId="6B6FD8B3">
      <w:pPr>
        <w:pStyle w:val="2"/>
        <w:rPr>
          <w:highlight w:val="none"/>
        </w:rPr>
      </w:pPr>
    </w:p>
    <w:p w14:paraId="1ED21261">
      <w:pPr>
        <w:jc w:val="center"/>
        <w:rPr>
          <w:sz w:val="72"/>
          <w:szCs w:val="72"/>
          <w:highlight w:val="none"/>
        </w:rPr>
      </w:pPr>
    </w:p>
    <w:p w14:paraId="750B8D99">
      <w:pPr>
        <w:pStyle w:val="15"/>
        <w:jc w:val="center"/>
        <w:rPr>
          <w:sz w:val="84"/>
          <w:szCs w:val="84"/>
          <w:highlight w:val="none"/>
        </w:rPr>
      </w:pPr>
      <w:r>
        <w:rPr>
          <w:rFonts w:hint="eastAsia"/>
          <w:sz w:val="84"/>
          <w:szCs w:val="84"/>
          <w:highlight w:val="none"/>
        </w:rPr>
        <w:t>第二部分</w:t>
      </w:r>
    </w:p>
    <w:p w14:paraId="4141ECF0">
      <w:pPr>
        <w:pStyle w:val="15"/>
        <w:jc w:val="center"/>
        <w:rPr>
          <w:sz w:val="84"/>
          <w:szCs w:val="84"/>
          <w:highlight w:val="none"/>
        </w:rPr>
      </w:pPr>
    </w:p>
    <w:p w14:paraId="567165B5">
      <w:pPr>
        <w:pStyle w:val="15"/>
        <w:jc w:val="center"/>
        <w:rPr>
          <w:sz w:val="84"/>
          <w:szCs w:val="84"/>
          <w:highlight w:val="none"/>
        </w:rPr>
      </w:pPr>
      <w:r>
        <w:rPr>
          <w:rFonts w:hint="eastAsia"/>
          <w:sz w:val="84"/>
          <w:szCs w:val="84"/>
          <w:highlight w:val="none"/>
        </w:rPr>
        <w:t>部门决算表</w:t>
      </w:r>
    </w:p>
    <w:p w14:paraId="33DCB392">
      <w:pPr>
        <w:pStyle w:val="15"/>
        <w:jc w:val="center"/>
        <w:rPr>
          <w:sz w:val="84"/>
          <w:szCs w:val="84"/>
          <w:highlight w:val="none"/>
        </w:rPr>
      </w:pPr>
      <w:r>
        <w:rPr>
          <w:rFonts w:hint="eastAsia"/>
          <w:sz w:val="84"/>
          <w:szCs w:val="84"/>
          <w:highlight w:val="none"/>
        </w:rPr>
        <w:t>(详情见附件)</w:t>
      </w:r>
    </w:p>
    <w:p w14:paraId="5A87BEB8">
      <w:pPr>
        <w:pStyle w:val="15"/>
        <w:jc w:val="center"/>
        <w:rPr>
          <w:sz w:val="84"/>
          <w:szCs w:val="84"/>
          <w:highlight w:val="none"/>
        </w:rPr>
      </w:pPr>
    </w:p>
    <w:p w14:paraId="01FBC3C8">
      <w:pPr>
        <w:pStyle w:val="15"/>
        <w:jc w:val="center"/>
        <w:rPr>
          <w:sz w:val="84"/>
          <w:szCs w:val="84"/>
          <w:highlight w:val="none"/>
        </w:rPr>
        <w:sectPr>
          <w:pgSz w:w="11906" w:h="16838"/>
          <w:pgMar w:top="820" w:right="1599" w:bottom="898" w:left="1600" w:header="851" w:footer="992" w:gutter="0"/>
          <w:cols w:space="425" w:num="1"/>
          <w:docGrid w:type="lines" w:linePitch="312" w:charSpace="0"/>
        </w:sectPr>
      </w:pPr>
    </w:p>
    <w:p w14:paraId="01D644DF">
      <w:pPr>
        <w:pStyle w:val="15"/>
        <w:rPr>
          <w:sz w:val="72"/>
          <w:szCs w:val="72"/>
          <w:highlight w:val="none"/>
        </w:rPr>
      </w:pPr>
    </w:p>
    <w:p w14:paraId="06F69A0C">
      <w:pPr>
        <w:pStyle w:val="15"/>
        <w:jc w:val="center"/>
        <w:rPr>
          <w:sz w:val="72"/>
          <w:szCs w:val="72"/>
          <w:highlight w:val="none"/>
        </w:rPr>
      </w:pPr>
    </w:p>
    <w:p w14:paraId="5967F691">
      <w:pPr>
        <w:pStyle w:val="15"/>
        <w:jc w:val="center"/>
        <w:rPr>
          <w:sz w:val="72"/>
          <w:szCs w:val="72"/>
          <w:highlight w:val="none"/>
        </w:rPr>
      </w:pPr>
    </w:p>
    <w:p w14:paraId="227CBD2B">
      <w:pPr>
        <w:pStyle w:val="15"/>
        <w:jc w:val="center"/>
        <w:rPr>
          <w:sz w:val="84"/>
          <w:szCs w:val="84"/>
          <w:highlight w:val="none"/>
        </w:rPr>
      </w:pPr>
      <w:r>
        <w:rPr>
          <w:rFonts w:hint="eastAsia"/>
          <w:sz w:val="84"/>
          <w:szCs w:val="84"/>
          <w:highlight w:val="none"/>
        </w:rPr>
        <w:t>第三部分</w:t>
      </w:r>
    </w:p>
    <w:p w14:paraId="77E782D4">
      <w:pPr>
        <w:pStyle w:val="15"/>
        <w:jc w:val="center"/>
        <w:rPr>
          <w:sz w:val="84"/>
          <w:szCs w:val="84"/>
          <w:highlight w:val="none"/>
        </w:rPr>
      </w:pPr>
    </w:p>
    <w:p w14:paraId="01707236">
      <w:pPr>
        <w:pStyle w:val="15"/>
        <w:jc w:val="center"/>
        <w:rPr>
          <w:sz w:val="84"/>
          <w:szCs w:val="84"/>
          <w:highlight w:val="none"/>
        </w:rPr>
      </w:pPr>
      <w:r>
        <w:rPr>
          <w:rFonts w:hint="eastAsia"/>
          <w:sz w:val="84"/>
          <w:szCs w:val="84"/>
          <w:highlight w:val="none"/>
        </w:rPr>
        <w:t>2022年度</w:t>
      </w:r>
    </w:p>
    <w:p w14:paraId="058CCD07">
      <w:pPr>
        <w:pStyle w:val="15"/>
        <w:jc w:val="center"/>
        <w:rPr>
          <w:sz w:val="84"/>
          <w:szCs w:val="84"/>
          <w:highlight w:val="none"/>
        </w:rPr>
      </w:pPr>
    </w:p>
    <w:p w14:paraId="4D67251F">
      <w:pPr>
        <w:pStyle w:val="15"/>
        <w:jc w:val="center"/>
        <w:rPr>
          <w:sz w:val="84"/>
          <w:szCs w:val="84"/>
          <w:highlight w:val="none"/>
        </w:rPr>
      </w:pPr>
      <w:r>
        <w:rPr>
          <w:rFonts w:hint="eastAsia"/>
          <w:sz w:val="84"/>
          <w:szCs w:val="84"/>
          <w:highlight w:val="none"/>
        </w:rPr>
        <w:t>部门决算情况说明</w:t>
      </w:r>
    </w:p>
    <w:p w14:paraId="42D839BC">
      <w:pPr>
        <w:widowControl/>
        <w:jc w:val="left"/>
        <w:rPr>
          <w:rFonts w:ascii="黑体" w:eastAsia="黑体" w:cs="黑体"/>
          <w:color w:val="000000"/>
          <w:kern w:val="0"/>
          <w:sz w:val="70"/>
          <w:szCs w:val="70"/>
          <w:highlight w:val="none"/>
        </w:rPr>
      </w:pPr>
      <w:r>
        <w:rPr>
          <w:sz w:val="70"/>
          <w:szCs w:val="70"/>
          <w:highlight w:val="none"/>
        </w:rPr>
        <w:br w:type="page"/>
      </w:r>
    </w:p>
    <w:p w14:paraId="6A06E5EB">
      <w:pPr>
        <w:pStyle w:val="15"/>
        <w:ind w:firstLine="640" w:firstLineChars="200"/>
        <w:rPr>
          <w:rFonts w:hAnsi="黑体"/>
          <w:b/>
          <w:sz w:val="32"/>
          <w:szCs w:val="32"/>
          <w:highlight w:val="none"/>
        </w:rPr>
      </w:pPr>
      <w:r>
        <w:rPr>
          <w:rFonts w:hint="eastAsia" w:hAnsi="黑体"/>
          <w:b/>
          <w:sz w:val="32"/>
          <w:szCs w:val="32"/>
          <w:highlight w:val="none"/>
        </w:rPr>
        <w:t>一、收入支出决算总体情况说明</w:t>
      </w:r>
    </w:p>
    <w:p w14:paraId="0039444E">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2022年度收、支总计</w:t>
      </w:r>
      <w:r>
        <w:rPr>
          <w:rFonts w:hint="eastAsia" w:ascii="仿宋_GB2312" w:hAnsi="宋体" w:eastAsia="仿宋_GB2312" w:cs="宋体"/>
          <w:color w:val="333333"/>
          <w:kern w:val="0"/>
          <w:sz w:val="32"/>
          <w:szCs w:val="32"/>
          <w:highlight w:val="none"/>
        </w:rPr>
        <w:t>各</w:t>
      </w:r>
      <w:r>
        <w:rPr>
          <w:rFonts w:hint="eastAsia" w:ascii="仿宋_GB2312" w:hAnsi="宋体" w:eastAsia="仿宋_GB2312" w:cs="宋体"/>
          <w:color w:val="333333"/>
          <w:kern w:val="0"/>
          <w:sz w:val="32"/>
          <w:szCs w:val="32"/>
          <w:highlight w:val="none"/>
        </w:rPr>
        <w:t>367.13万元，与2021年相比，收入减少 516.06 万元，减少58.43%，主要是因为以往年度上级拨付土地确权工作经费，今年此项工作基本结束，上级拨付的工作经费减少。</w:t>
      </w:r>
    </w:p>
    <w:p w14:paraId="526976C3">
      <w:pPr>
        <w:pStyle w:val="15"/>
        <w:ind w:firstLine="640" w:firstLineChars="200"/>
        <w:rPr>
          <w:rFonts w:hAnsi="黑体"/>
          <w:b/>
          <w:sz w:val="32"/>
          <w:szCs w:val="32"/>
          <w:highlight w:val="none"/>
        </w:rPr>
      </w:pPr>
      <w:r>
        <w:rPr>
          <w:rFonts w:hint="eastAsia" w:hAnsi="黑体"/>
          <w:b/>
          <w:sz w:val="32"/>
          <w:szCs w:val="32"/>
          <w:highlight w:val="none"/>
        </w:rPr>
        <w:t>二、收入决算情况说明</w:t>
      </w:r>
    </w:p>
    <w:p w14:paraId="0E61939D">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本年收入合计366.39万元，其中：财政拨款收入366.39万元，占100%；上级补助收入0万元；事业收入0万元；经营收入0万元；附属单位上缴收入0万元；其他收入0万元。</w:t>
      </w:r>
    </w:p>
    <w:p w14:paraId="5A9E25D4">
      <w:pPr>
        <w:pStyle w:val="15"/>
        <w:ind w:firstLine="640" w:firstLineChars="200"/>
        <w:rPr>
          <w:rFonts w:hAnsi="黑体"/>
          <w:b/>
          <w:sz w:val="32"/>
          <w:szCs w:val="32"/>
          <w:highlight w:val="none"/>
        </w:rPr>
      </w:pPr>
      <w:r>
        <w:rPr>
          <w:rFonts w:hint="eastAsia" w:hAnsi="黑体"/>
          <w:b/>
          <w:sz w:val="32"/>
          <w:szCs w:val="32"/>
          <w:highlight w:val="none"/>
        </w:rPr>
        <w:t>三、支出决算情况说明</w:t>
      </w:r>
    </w:p>
    <w:p w14:paraId="539DFD39">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本年支出合计315.83万元，其中：基本支出243.55万元，占77.11 %；项目支出72.28万元，占22.89%；上缴上级支出0万元，占0%；经营支出0万元，占0%；对附属单位补助支出0万元，占0%。</w:t>
      </w:r>
    </w:p>
    <w:p w14:paraId="075CE5B1">
      <w:pPr>
        <w:pStyle w:val="15"/>
        <w:ind w:firstLine="640" w:firstLineChars="200"/>
        <w:rPr>
          <w:rFonts w:hAnsi="黑体"/>
          <w:b/>
          <w:sz w:val="32"/>
          <w:szCs w:val="32"/>
          <w:highlight w:val="none"/>
        </w:rPr>
      </w:pPr>
      <w:r>
        <w:rPr>
          <w:rFonts w:hint="eastAsia" w:hAnsi="黑体"/>
          <w:b/>
          <w:sz w:val="32"/>
          <w:szCs w:val="32"/>
          <w:highlight w:val="none"/>
        </w:rPr>
        <w:t>四、财政拨款收入支出决算总体情况说明</w:t>
      </w:r>
    </w:p>
    <w:p w14:paraId="61BBA301">
      <w:pPr>
        <w:widowControl/>
        <w:ind w:firstLine="634"/>
        <w:rPr>
          <w:rFonts w:hint="eastAsia"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2022年度财政拨款收、支总计各367.13万元，与2021年相比，收入减少 516.06 万元，减少58.43%，主要是因为以往年度上级拨付土地确权工作经费，今年此项工作基本结束，上级拨付的工作经费减少。</w:t>
      </w:r>
    </w:p>
    <w:p w14:paraId="6378B94C">
      <w:pPr>
        <w:pStyle w:val="15"/>
        <w:ind w:firstLine="640" w:firstLineChars="200"/>
        <w:rPr>
          <w:rFonts w:hAnsi="黑体"/>
          <w:b/>
          <w:sz w:val="32"/>
          <w:szCs w:val="32"/>
          <w:highlight w:val="none"/>
        </w:rPr>
      </w:pPr>
      <w:r>
        <w:rPr>
          <w:rFonts w:hint="eastAsia" w:hAnsi="黑体"/>
          <w:b/>
          <w:sz w:val="32"/>
          <w:szCs w:val="32"/>
          <w:highlight w:val="none"/>
        </w:rPr>
        <w:t>五、一般公共预算财政拨款支出决算情况说明</w:t>
      </w:r>
    </w:p>
    <w:p w14:paraId="2D90337A">
      <w:pPr>
        <w:pStyle w:val="15"/>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（一）财政拨款支出决算总体情况</w:t>
      </w:r>
    </w:p>
    <w:p w14:paraId="306EC83B">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2022年度财政拨款支出315.83万元，占本年支出合计的100%，与2021年相比，财政拨款支出减少566.62万元，减少64.21%，主要是</w:t>
      </w:r>
      <w:r>
        <w:rPr>
          <w:rFonts w:hint="eastAsia" w:ascii="仿宋_GB2312" w:hAnsi="宋体" w:eastAsia="仿宋_GB2312" w:cs="宋体"/>
          <w:color w:val="333333"/>
          <w:kern w:val="0"/>
          <w:sz w:val="32"/>
          <w:szCs w:val="32"/>
          <w:highlight w:val="none"/>
        </w:rPr>
        <w:t>因为</w:t>
      </w:r>
      <w:r>
        <w:rPr>
          <w:rFonts w:hint="eastAsia" w:ascii="仿宋_GB2312" w:hAnsi="宋体" w:eastAsia="仿宋_GB2312" w:cs="宋体"/>
          <w:color w:val="333333"/>
          <w:kern w:val="0"/>
          <w:sz w:val="32"/>
          <w:szCs w:val="32"/>
          <w:highlight w:val="none"/>
        </w:rPr>
        <w:t>以往年度财政拨付土地确权工作经费，今年此项工作已基本完成，工作经费减少。</w:t>
      </w:r>
    </w:p>
    <w:p w14:paraId="7DA6C724">
      <w:pPr>
        <w:pStyle w:val="15"/>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（二）财政拨款支出决算结构情况</w:t>
      </w:r>
    </w:p>
    <w:p w14:paraId="7028B8BC">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2022年度财政拨款支出315.83万元，主要用于以下方面：一般公共服务（类）支出0.15万元，占0.05%；社会保障和就业</w:t>
      </w:r>
      <w:r>
        <w:rPr>
          <w:rFonts w:hint="eastAsia" w:ascii="仿宋_GB2312" w:hAnsi="宋体" w:eastAsia="仿宋_GB2312" w:cs="宋体"/>
          <w:color w:val="333333"/>
          <w:kern w:val="0"/>
          <w:sz w:val="32"/>
          <w:szCs w:val="32"/>
          <w:highlight w:val="none"/>
        </w:rPr>
        <w:t>（类）</w:t>
      </w:r>
      <w:r>
        <w:rPr>
          <w:rFonts w:hint="eastAsia" w:ascii="仿宋_GB2312" w:hAnsi="宋体" w:eastAsia="仿宋_GB2312" w:cs="宋体"/>
          <w:color w:val="333333"/>
          <w:kern w:val="0"/>
          <w:sz w:val="32"/>
          <w:szCs w:val="32"/>
          <w:highlight w:val="none"/>
        </w:rPr>
        <w:t>支出17.43万元，占5.52%;卫生健康</w:t>
      </w:r>
      <w:r>
        <w:rPr>
          <w:rFonts w:hint="eastAsia" w:ascii="仿宋_GB2312" w:hAnsi="宋体" w:eastAsia="仿宋_GB2312" w:cs="宋体"/>
          <w:color w:val="333333"/>
          <w:kern w:val="0"/>
          <w:sz w:val="32"/>
          <w:szCs w:val="32"/>
          <w:highlight w:val="none"/>
        </w:rPr>
        <w:t>（类）</w:t>
      </w:r>
      <w:r>
        <w:rPr>
          <w:rFonts w:hint="eastAsia" w:ascii="仿宋_GB2312" w:hAnsi="宋体" w:eastAsia="仿宋_GB2312" w:cs="宋体"/>
          <w:color w:val="333333"/>
          <w:kern w:val="0"/>
          <w:sz w:val="32"/>
          <w:szCs w:val="32"/>
          <w:highlight w:val="none"/>
        </w:rPr>
        <w:t>支出7.49万元，占2.37%；农林水</w:t>
      </w:r>
      <w:r>
        <w:rPr>
          <w:rFonts w:hint="eastAsia" w:ascii="仿宋_GB2312" w:hAnsi="宋体" w:eastAsia="仿宋_GB2312" w:cs="宋体"/>
          <w:color w:val="333333"/>
          <w:kern w:val="0"/>
          <w:sz w:val="32"/>
          <w:szCs w:val="32"/>
          <w:highlight w:val="none"/>
        </w:rPr>
        <w:t>（类）</w:t>
      </w:r>
      <w:r>
        <w:rPr>
          <w:rFonts w:hint="eastAsia" w:ascii="仿宋_GB2312" w:hAnsi="宋体" w:eastAsia="仿宋_GB2312" w:cs="宋体"/>
          <w:color w:val="333333"/>
          <w:kern w:val="0"/>
          <w:sz w:val="32"/>
          <w:szCs w:val="32"/>
          <w:highlight w:val="none"/>
        </w:rPr>
        <w:t>支出274.03万元，占86.77%；住房保障</w:t>
      </w:r>
      <w:r>
        <w:rPr>
          <w:rFonts w:hint="eastAsia" w:ascii="仿宋_GB2312" w:hAnsi="宋体" w:eastAsia="仿宋_GB2312" w:cs="宋体"/>
          <w:color w:val="333333"/>
          <w:kern w:val="0"/>
          <w:sz w:val="32"/>
          <w:szCs w:val="32"/>
          <w:highlight w:val="none"/>
        </w:rPr>
        <w:t>（类）</w:t>
      </w:r>
      <w:r>
        <w:rPr>
          <w:rFonts w:hint="eastAsia" w:ascii="仿宋_GB2312" w:hAnsi="宋体" w:eastAsia="仿宋_GB2312" w:cs="宋体"/>
          <w:color w:val="333333"/>
          <w:kern w:val="0"/>
          <w:sz w:val="32"/>
          <w:szCs w:val="32"/>
          <w:highlight w:val="none"/>
        </w:rPr>
        <w:t>支出16.73万元，占5.30%。</w:t>
      </w:r>
    </w:p>
    <w:p w14:paraId="48A38302">
      <w:pPr>
        <w:pStyle w:val="15"/>
        <w:ind w:firstLine="640" w:firstLineChars="200"/>
        <w:rPr>
          <w:rFonts w:asciiTheme="minorEastAsia" w:hAnsiTheme="minorEastAsia" w:eastAsiaTheme="minorEastAsia"/>
          <w:b/>
          <w:sz w:val="32"/>
          <w:szCs w:val="32"/>
          <w:highlight w:val="none"/>
        </w:rPr>
      </w:pPr>
      <w:r>
        <w:rPr>
          <w:rFonts w:hint="eastAsia" w:asciiTheme="minorEastAsia" w:hAnsiTheme="minorEastAsia" w:eastAsiaTheme="minorEastAsia"/>
          <w:b/>
          <w:sz w:val="32"/>
          <w:szCs w:val="32"/>
          <w:highlight w:val="none"/>
        </w:rPr>
        <w:t>（三）财政拨款支出决算具体情况</w:t>
      </w:r>
    </w:p>
    <w:p w14:paraId="1AEFA60A">
      <w:pPr>
        <w:pStyle w:val="15"/>
        <w:ind w:firstLine="640" w:firstLineChars="200"/>
        <w:rPr>
          <w:rFonts w:ascii="仿宋_GB2312" w:hAnsi="宋体" w:eastAsia="仿宋_GB2312" w:cs="宋体"/>
          <w:color w:val="333333"/>
          <w:sz w:val="32"/>
          <w:szCs w:val="32"/>
          <w:highlight w:val="none"/>
        </w:rPr>
      </w:pPr>
      <w:r>
        <w:rPr>
          <w:rFonts w:hint="eastAsia" w:ascii="仿宋_GB2312" w:hAnsi="宋体" w:eastAsia="仿宋_GB2312" w:cs="宋体"/>
          <w:color w:val="333333"/>
          <w:sz w:val="32"/>
          <w:szCs w:val="32"/>
          <w:highlight w:val="none"/>
        </w:rPr>
        <w:t>2022年度财政拨款支出年初预算数为366.39万元，支出决算数为315.83万元，完成年初预算的86.20%，其中：</w:t>
      </w:r>
    </w:p>
    <w:p w14:paraId="3F8F2A7A">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1、一般公共服务（类）其他共产党事务（款）其他共产党事务（项）</w:t>
      </w:r>
      <w:r>
        <w:rPr>
          <w:rFonts w:hint="eastAsia" w:ascii="仿宋_GB2312" w:hAnsi="宋体" w:eastAsia="仿宋_GB2312" w:cs="宋体"/>
          <w:color w:val="333333"/>
          <w:kern w:val="0"/>
          <w:sz w:val="32"/>
          <w:szCs w:val="32"/>
          <w:highlight w:val="none"/>
        </w:rPr>
        <w:t>。</w:t>
      </w:r>
    </w:p>
    <w:p w14:paraId="4F68566B">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年初预算为0.15万元，支出决算为0.15万元，完成年初预算的100%，决算数等于年初预算数</w:t>
      </w:r>
      <w:r>
        <w:rPr>
          <w:rFonts w:hint="eastAsia" w:ascii="仿宋_GB2312" w:hAnsi="宋体" w:eastAsia="仿宋_GB2312" w:cs="宋体"/>
          <w:color w:val="333333"/>
          <w:kern w:val="0"/>
          <w:sz w:val="32"/>
          <w:szCs w:val="32"/>
          <w:highlight w:val="none"/>
        </w:rPr>
        <w:t>的主要原因是：严格按照年初预算数执行。</w:t>
      </w:r>
    </w:p>
    <w:p w14:paraId="1013708C">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2、社会保障和就业（类）人力资源和社会保障管理事务（款）事业运行（项）</w:t>
      </w:r>
    </w:p>
    <w:p w14:paraId="4690B76E">
      <w:pPr>
        <w:widowControl/>
        <w:ind w:firstLine="634"/>
        <w:rPr>
          <w:rFonts w:hint="eastAsia"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w:t>
      </w:r>
      <w:r>
        <w:rPr>
          <w:rFonts w:ascii="仿宋_GB2312" w:hAnsi="宋体" w:eastAsia="仿宋_GB2312" w:cs="宋体"/>
          <w:color w:val="333333"/>
          <w:kern w:val="0"/>
          <w:sz w:val="32"/>
          <w:szCs w:val="32"/>
          <w:highlight w:val="none"/>
        </w:rPr>
        <w:t>0.3</w:t>
      </w:r>
      <w:r>
        <w:rPr>
          <w:rFonts w:hint="eastAsia" w:ascii="仿宋_GB2312" w:hAnsi="宋体" w:eastAsia="仿宋_GB2312" w:cs="宋体"/>
          <w:color w:val="333333"/>
          <w:kern w:val="0"/>
          <w:sz w:val="32"/>
          <w:szCs w:val="32"/>
          <w:highlight w:val="none"/>
        </w:rPr>
        <w:t>万元，支出决算为</w:t>
      </w:r>
      <w:r>
        <w:rPr>
          <w:rFonts w:ascii="仿宋_GB2312" w:hAnsi="宋体" w:eastAsia="仿宋_GB2312" w:cs="宋体"/>
          <w:color w:val="333333"/>
          <w:kern w:val="0"/>
          <w:sz w:val="32"/>
          <w:szCs w:val="32"/>
          <w:highlight w:val="none"/>
        </w:rPr>
        <w:t>0.3</w:t>
      </w:r>
      <w:r>
        <w:rPr>
          <w:rFonts w:hint="eastAsia" w:ascii="仿宋_GB2312" w:hAnsi="宋体" w:eastAsia="仿宋_GB2312" w:cs="宋体"/>
          <w:color w:val="333333"/>
          <w:kern w:val="0"/>
          <w:sz w:val="32"/>
          <w:szCs w:val="32"/>
          <w:highlight w:val="none"/>
        </w:rPr>
        <w:t>万元，完成年初预算的100%，</w:t>
      </w:r>
      <w:r>
        <w:rPr>
          <w:rFonts w:hint="eastAsia" w:ascii="仿宋_GB2312" w:hAnsi="宋体" w:eastAsia="仿宋_GB2312" w:cs="宋体"/>
          <w:color w:val="333333"/>
          <w:kern w:val="0"/>
          <w:sz w:val="32"/>
          <w:szCs w:val="32"/>
          <w:highlight w:val="none"/>
        </w:rPr>
        <w:t>决算数等于年初预算数</w:t>
      </w:r>
      <w:r>
        <w:rPr>
          <w:rFonts w:hint="eastAsia" w:ascii="仿宋_GB2312" w:hAnsi="宋体" w:eastAsia="仿宋_GB2312" w:cs="宋体"/>
          <w:color w:val="333333"/>
          <w:kern w:val="0"/>
          <w:sz w:val="32"/>
          <w:szCs w:val="32"/>
          <w:highlight w:val="none"/>
        </w:rPr>
        <w:t>的主要原因是：严格按照年初预算数执行。</w:t>
      </w:r>
    </w:p>
    <w:p w14:paraId="1D9F9897">
      <w:pPr>
        <w:widowControl/>
        <w:ind w:firstLine="634"/>
        <w:rPr>
          <w:rFonts w:ascii="仿宋_GB2312" w:hAnsi="宋体" w:eastAsia="仿宋_GB2312" w:cs="宋体"/>
          <w:color w:val="333333"/>
          <w:kern w:val="0"/>
          <w:sz w:val="32"/>
          <w:szCs w:val="32"/>
          <w:highlight w:val="none"/>
        </w:rPr>
      </w:pPr>
      <w:r>
        <w:rPr>
          <w:rFonts w:ascii="仿宋_GB2312" w:hAnsi="宋体" w:eastAsia="仿宋_GB2312" w:cs="宋体"/>
          <w:color w:val="333333"/>
          <w:kern w:val="0"/>
          <w:sz w:val="32"/>
          <w:szCs w:val="32"/>
          <w:highlight w:val="none"/>
        </w:rPr>
        <w:t>3</w:t>
      </w:r>
      <w:r>
        <w:rPr>
          <w:rFonts w:hint="eastAsia" w:ascii="仿宋_GB2312" w:hAnsi="宋体" w:eastAsia="仿宋_GB2312" w:cs="宋体"/>
          <w:color w:val="333333"/>
          <w:kern w:val="0"/>
          <w:sz w:val="32"/>
          <w:szCs w:val="32"/>
          <w:highlight w:val="none"/>
        </w:rPr>
        <w:t>、社会保障和就业（类）行政事业单位养老（款）机关事业单位基本养老保险缴费（项）</w:t>
      </w:r>
    </w:p>
    <w:p w14:paraId="74A45C26">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w:t>
      </w:r>
      <w:r>
        <w:rPr>
          <w:rFonts w:hint="eastAsia" w:ascii="仿宋_GB2312" w:hAnsi="宋体" w:eastAsia="仿宋_GB2312" w:cs="宋体"/>
          <w:color w:val="333333"/>
          <w:kern w:val="0"/>
          <w:sz w:val="32"/>
          <w:szCs w:val="32"/>
          <w:highlight w:val="none"/>
        </w:rPr>
        <w:t>17.</w:t>
      </w:r>
      <w:r>
        <w:rPr>
          <w:rFonts w:ascii="仿宋_GB2312" w:hAnsi="宋体" w:eastAsia="仿宋_GB2312" w:cs="宋体"/>
          <w:color w:val="333333"/>
          <w:kern w:val="0"/>
          <w:sz w:val="32"/>
          <w:szCs w:val="32"/>
          <w:highlight w:val="none"/>
        </w:rPr>
        <w:t>1</w:t>
      </w:r>
      <w:r>
        <w:rPr>
          <w:rFonts w:hint="eastAsia" w:ascii="仿宋_GB2312" w:hAnsi="宋体" w:eastAsia="仿宋_GB2312" w:cs="宋体"/>
          <w:color w:val="333333"/>
          <w:kern w:val="0"/>
          <w:sz w:val="32"/>
          <w:szCs w:val="32"/>
          <w:highlight w:val="none"/>
        </w:rPr>
        <w:t>3万</w:t>
      </w:r>
      <w:r>
        <w:rPr>
          <w:rFonts w:hint="eastAsia" w:ascii="仿宋_GB2312" w:hAnsi="宋体" w:eastAsia="仿宋_GB2312" w:cs="宋体"/>
          <w:color w:val="333333"/>
          <w:kern w:val="0"/>
          <w:sz w:val="32"/>
          <w:szCs w:val="32"/>
          <w:highlight w:val="none"/>
        </w:rPr>
        <w:t>元，支出决算</w:t>
      </w:r>
      <w:r>
        <w:rPr>
          <w:rFonts w:hint="eastAsia" w:ascii="仿宋_GB2312" w:hAnsi="宋体" w:eastAsia="仿宋_GB2312" w:cs="宋体"/>
          <w:color w:val="333333"/>
          <w:kern w:val="0"/>
          <w:sz w:val="32"/>
          <w:szCs w:val="32"/>
          <w:highlight w:val="none"/>
        </w:rPr>
        <w:t>为17.</w:t>
      </w:r>
      <w:r>
        <w:rPr>
          <w:rFonts w:ascii="仿宋_GB2312" w:hAnsi="宋体" w:eastAsia="仿宋_GB2312" w:cs="宋体"/>
          <w:color w:val="333333"/>
          <w:kern w:val="0"/>
          <w:sz w:val="32"/>
          <w:szCs w:val="32"/>
          <w:highlight w:val="none"/>
        </w:rPr>
        <w:t>1</w:t>
      </w:r>
      <w:r>
        <w:rPr>
          <w:rFonts w:hint="eastAsia" w:ascii="仿宋_GB2312" w:hAnsi="宋体" w:eastAsia="仿宋_GB2312" w:cs="宋体"/>
          <w:color w:val="333333"/>
          <w:kern w:val="0"/>
          <w:sz w:val="32"/>
          <w:szCs w:val="32"/>
          <w:highlight w:val="none"/>
        </w:rPr>
        <w:t>3</w:t>
      </w:r>
      <w:r>
        <w:rPr>
          <w:rFonts w:hint="eastAsia" w:ascii="仿宋_GB2312" w:hAnsi="宋体" w:eastAsia="仿宋_GB2312" w:cs="宋体"/>
          <w:color w:val="333333"/>
          <w:kern w:val="0"/>
          <w:sz w:val="32"/>
          <w:szCs w:val="32"/>
          <w:highlight w:val="none"/>
        </w:rPr>
        <w:t>万元，完成年初预算的100%，决算数等于年初预算数</w:t>
      </w:r>
      <w:r>
        <w:rPr>
          <w:rFonts w:hint="eastAsia" w:ascii="仿宋_GB2312" w:hAnsi="宋体" w:eastAsia="仿宋_GB2312" w:cs="宋体"/>
          <w:color w:val="333333"/>
          <w:kern w:val="0"/>
          <w:sz w:val="32"/>
          <w:szCs w:val="32"/>
          <w:highlight w:val="none"/>
        </w:rPr>
        <w:t>的主要原因是：严格按照年初预算数执行。</w:t>
      </w:r>
    </w:p>
    <w:p w14:paraId="6F0C1BD0">
      <w:pPr>
        <w:widowControl/>
        <w:ind w:firstLine="634"/>
        <w:rPr>
          <w:rFonts w:ascii="仿宋_GB2312" w:hAnsi="宋体" w:eastAsia="仿宋_GB2312" w:cs="宋体"/>
          <w:color w:val="333333"/>
          <w:kern w:val="0"/>
          <w:sz w:val="32"/>
          <w:szCs w:val="32"/>
          <w:highlight w:val="none"/>
        </w:rPr>
      </w:pPr>
      <w:r>
        <w:rPr>
          <w:rFonts w:ascii="仿宋_GB2312" w:hAnsi="宋体" w:eastAsia="仿宋_GB2312" w:cs="宋体"/>
          <w:color w:val="333333"/>
          <w:kern w:val="0"/>
          <w:sz w:val="32"/>
          <w:szCs w:val="32"/>
          <w:highlight w:val="none"/>
        </w:rPr>
        <w:t>4</w:t>
      </w:r>
      <w:r>
        <w:rPr>
          <w:rFonts w:hint="eastAsia" w:ascii="仿宋_GB2312" w:hAnsi="宋体" w:eastAsia="仿宋_GB2312" w:cs="宋体"/>
          <w:color w:val="333333"/>
          <w:kern w:val="0"/>
          <w:sz w:val="32"/>
          <w:szCs w:val="32"/>
          <w:highlight w:val="none"/>
        </w:rPr>
        <w:t>、卫生健康（类）行政事业单位医疗（款）事业单位医疗（项）</w:t>
      </w:r>
    </w:p>
    <w:p w14:paraId="76F48138">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年初预算为7.49万元，支出决算为7.49万元，完成年初预算的100%，决算数等于年初预算数</w:t>
      </w:r>
      <w:r>
        <w:rPr>
          <w:rFonts w:hint="eastAsia" w:ascii="仿宋_GB2312" w:hAnsi="宋体" w:eastAsia="仿宋_GB2312" w:cs="宋体"/>
          <w:color w:val="333333"/>
          <w:kern w:val="0"/>
          <w:sz w:val="32"/>
          <w:szCs w:val="32"/>
          <w:highlight w:val="none"/>
        </w:rPr>
        <w:t>的主要原因是：严格按照年初预算数执行。</w:t>
      </w:r>
    </w:p>
    <w:p w14:paraId="43D57F22">
      <w:pPr>
        <w:widowControl/>
        <w:ind w:firstLine="634"/>
        <w:rPr>
          <w:rFonts w:ascii="Times New Roman" w:hAnsi="Times New Roman" w:eastAsia="仿宋_GB2312"/>
          <w:sz w:val="32"/>
          <w:szCs w:val="32"/>
          <w:highlight w:val="none"/>
        </w:rPr>
      </w:pPr>
      <w:r>
        <w:rPr>
          <w:rFonts w:ascii="仿宋_GB2312" w:hAnsi="宋体" w:eastAsia="仿宋_GB2312" w:cs="宋体"/>
          <w:color w:val="333333"/>
          <w:kern w:val="0"/>
          <w:sz w:val="32"/>
          <w:szCs w:val="32"/>
          <w:highlight w:val="none"/>
        </w:rPr>
        <w:t>5</w:t>
      </w:r>
      <w:r>
        <w:rPr>
          <w:rFonts w:hint="eastAsia" w:ascii="仿宋_GB2312" w:hAnsi="宋体" w:eastAsia="仿宋_GB2312" w:cs="宋体"/>
          <w:color w:val="333333"/>
          <w:kern w:val="0"/>
          <w:sz w:val="32"/>
          <w:szCs w:val="32"/>
          <w:highlight w:val="none"/>
        </w:rPr>
        <w:t>、</w:t>
      </w:r>
      <w:r>
        <w:rPr>
          <w:rFonts w:hint="eastAsia" w:ascii="Times New Roman" w:hAnsi="Times New Roman" w:eastAsia="仿宋_GB2312"/>
          <w:sz w:val="32"/>
          <w:szCs w:val="32"/>
          <w:highlight w:val="none"/>
        </w:rPr>
        <w:t>农林水（类）农业农村（款）行政运行（项）</w:t>
      </w:r>
    </w:p>
    <w:p w14:paraId="750B1B6D">
      <w:pPr>
        <w:widowControl/>
        <w:ind w:firstLine="634"/>
        <w:rPr>
          <w:rFonts w:hint="eastAsia"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w:t>
      </w:r>
      <w:r>
        <w:rPr>
          <w:rFonts w:hint="eastAsia" w:ascii="仿宋_GB2312" w:hAnsi="宋体" w:eastAsia="仿宋_GB2312" w:cs="宋体"/>
          <w:color w:val="333333"/>
          <w:kern w:val="0"/>
          <w:sz w:val="32"/>
          <w:szCs w:val="32"/>
          <w:highlight w:val="none"/>
          <w:lang w:val="en-US" w:eastAsia="zh-CN"/>
        </w:rPr>
        <w:t>192.19</w:t>
      </w:r>
      <w:r>
        <w:rPr>
          <w:rFonts w:hint="eastAsia" w:ascii="仿宋_GB2312" w:hAnsi="宋体" w:eastAsia="仿宋_GB2312" w:cs="宋体"/>
          <w:color w:val="333333"/>
          <w:kern w:val="0"/>
          <w:sz w:val="32"/>
          <w:szCs w:val="32"/>
          <w:highlight w:val="none"/>
        </w:rPr>
        <w:t>万元，支出决算为</w:t>
      </w:r>
      <w:r>
        <w:rPr>
          <w:rFonts w:ascii="仿宋_GB2312" w:hAnsi="宋体" w:eastAsia="仿宋_GB2312" w:cs="宋体"/>
          <w:color w:val="333333"/>
          <w:kern w:val="0"/>
          <w:sz w:val="32"/>
          <w:szCs w:val="32"/>
          <w:highlight w:val="none"/>
        </w:rPr>
        <w:t>201.75</w:t>
      </w:r>
      <w:r>
        <w:rPr>
          <w:rFonts w:hint="eastAsia" w:ascii="仿宋_GB2312" w:hAnsi="宋体" w:eastAsia="仿宋_GB2312" w:cs="宋体"/>
          <w:color w:val="333333"/>
          <w:kern w:val="0"/>
          <w:sz w:val="32"/>
          <w:szCs w:val="32"/>
          <w:highlight w:val="none"/>
        </w:rPr>
        <w:t>万元，完成年初</w:t>
      </w:r>
      <w:r>
        <w:rPr>
          <w:rFonts w:hint="eastAsia" w:ascii="仿宋_GB2312" w:hAnsi="宋体" w:eastAsia="仿宋_GB2312" w:cs="宋体"/>
          <w:color w:val="333333"/>
          <w:kern w:val="0"/>
          <w:sz w:val="32"/>
          <w:szCs w:val="32"/>
          <w:highlight w:val="none"/>
        </w:rPr>
        <w:t>预算的</w:t>
      </w:r>
      <w:r>
        <w:rPr>
          <w:rFonts w:hint="eastAsia" w:ascii="仿宋_GB2312" w:hAnsi="宋体" w:eastAsia="仿宋_GB2312" w:cs="宋体"/>
          <w:color w:val="333333"/>
          <w:kern w:val="0"/>
          <w:sz w:val="32"/>
          <w:szCs w:val="32"/>
          <w:highlight w:val="none"/>
          <w:lang w:val="en-US" w:eastAsia="zh-CN"/>
        </w:rPr>
        <w:t>104.97</w:t>
      </w:r>
      <w:r>
        <w:rPr>
          <w:rFonts w:hint="eastAsia" w:ascii="仿宋_GB2312" w:hAnsi="宋体" w:eastAsia="仿宋_GB2312" w:cs="宋体"/>
          <w:color w:val="333333"/>
          <w:kern w:val="0"/>
          <w:sz w:val="32"/>
          <w:szCs w:val="32"/>
          <w:highlight w:val="none"/>
        </w:rPr>
        <w:t>%，决算数</w:t>
      </w:r>
      <w:r>
        <w:rPr>
          <w:rFonts w:hint="eastAsia" w:ascii="仿宋_GB2312" w:hAnsi="宋体" w:eastAsia="仿宋_GB2312" w:cs="宋体"/>
          <w:color w:val="333333"/>
          <w:kern w:val="0"/>
          <w:sz w:val="32"/>
          <w:szCs w:val="32"/>
          <w:highlight w:val="none"/>
          <w:lang w:val="en-US" w:eastAsia="zh-CN"/>
        </w:rPr>
        <w:t>大</w:t>
      </w:r>
      <w:r>
        <w:rPr>
          <w:rFonts w:hint="eastAsia" w:ascii="仿宋_GB2312" w:hAnsi="宋体" w:eastAsia="仿宋_GB2312" w:cs="宋体"/>
          <w:color w:val="333333"/>
          <w:kern w:val="0"/>
          <w:sz w:val="32"/>
          <w:szCs w:val="32"/>
          <w:highlight w:val="none"/>
        </w:rPr>
        <w:t>于年初预算数的主要原因是:</w:t>
      </w:r>
      <w:r>
        <w:rPr>
          <w:rFonts w:hint="eastAsia" w:ascii="仿宋_GB2312" w:hAnsi="宋体" w:eastAsia="仿宋_GB2312" w:cs="宋体"/>
          <w:color w:val="333333"/>
          <w:kern w:val="0"/>
          <w:sz w:val="32"/>
          <w:szCs w:val="32"/>
          <w:highlight w:val="none"/>
          <w:lang w:eastAsia="zh-CN"/>
        </w:rPr>
        <w:t>此</w:t>
      </w:r>
      <w:r>
        <w:rPr>
          <w:rFonts w:hint="eastAsia" w:ascii="仿宋_GB2312" w:hAnsi="宋体" w:eastAsia="仿宋_GB2312" w:cs="宋体"/>
          <w:color w:val="333333"/>
          <w:kern w:val="0"/>
          <w:sz w:val="32"/>
          <w:szCs w:val="32"/>
          <w:highlight w:val="none"/>
        </w:rPr>
        <w:t>项目支出的实际支出数</w:t>
      </w:r>
      <w:r>
        <w:rPr>
          <w:rFonts w:hint="eastAsia" w:ascii="仿宋_GB2312" w:hAnsi="宋体" w:eastAsia="仿宋_GB2312" w:cs="宋体"/>
          <w:color w:val="333333"/>
          <w:kern w:val="0"/>
          <w:sz w:val="32"/>
          <w:szCs w:val="32"/>
          <w:highlight w:val="none"/>
          <w:lang w:eastAsia="zh-CN"/>
        </w:rPr>
        <w:t>增加</w:t>
      </w:r>
      <w:r>
        <w:rPr>
          <w:rFonts w:hint="eastAsia" w:ascii="仿宋_GB2312" w:hAnsi="宋体" w:eastAsia="仿宋_GB2312" w:cs="宋体"/>
          <w:color w:val="333333"/>
          <w:kern w:val="0"/>
          <w:sz w:val="32"/>
          <w:szCs w:val="32"/>
          <w:highlight w:val="none"/>
        </w:rPr>
        <w:t>。</w:t>
      </w:r>
    </w:p>
    <w:p w14:paraId="16A4B960">
      <w:pPr>
        <w:widowControl/>
        <w:ind w:firstLine="634"/>
        <w:rPr>
          <w:rFonts w:ascii="仿宋_GB2312" w:hAnsi="宋体" w:eastAsia="仿宋_GB2312" w:cs="宋体"/>
          <w:color w:val="333333"/>
          <w:kern w:val="0"/>
          <w:sz w:val="32"/>
          <w:szCs w:val="32"/>
          <w:highlight w:val="none"/>
        </w:rPr>
      </w:pPr>
      <w:r>
        <w:rPr>
          <w:rFonts w:ascii="仿宋_GB2312" w:hAnsi="宋体" w:eastAsia="仿宋_GB2312" w:cs="宋体"/>
          <w:color w:val="333333"/>
          <w:kern w:val="0"/>
          <w:sz w:val="32"/>
          <w:szCs w:val="32"/>
          <w:highlight w:val="none"/>
        </w:rPr>
        <w:t>6</w:t>
      </w:r>
      <w:r>
        <w:rPr>
          <w:rFonts w:hint="eastAsia" w:ascii="仿宋_GB2312" w:hAnsi="宋体" w:eastAsia="仿宋_GB2312" w:cs="宋体"/>
          <w:color w:val="333333"/>
          <w:kern w:val="0"/>
          <w:sz w:val="32"/>
          <w:szCs w:val="32"/>
          <w:highlight w:val="none"/>
        </w:rPr>
        <w:t>、农林水（类）农业农村（款）农村合作经济（项）</w:t>
      </w:r>
    </w:p>
    <w:p w14:paraId="50C85746">
      <w:pPr>
        <w:widowControl/>
        <w:ind w:firstLine="634"/>
        <w:rPr>
          <w:rFonts w:hint="eastAsia"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w:t>
      </w:r>
      <w:r>
        <w:rPr>
          <w:rFonts w:hint="eastAsia" w:ascii="仿宋_GB2312" w:hAnsi="宋体" w:eastAsia="仿宋_GB2312" w:cs="宋体"/>
          <w:color w:val="333333"/>
          <w:kern w:val="0"/>
          <w:sz w:val="32"/>
          <w:szCs w:val="32"/>
          <w:highlight w:val="none"/>
          <w:lang w:val="en-US" w:eastAsia="zh-CN"/>
        </w:rPr>
        <w:t>0</w:t>
      </w:r>
      <w:r>
        <w:rPr>
          <w:rFonts w:hint="eastAsia" w:ascii="仿宋_GB2312" w:hAnsi="宋体" w:eastAsia="仿宋_GB2312" w:cs="宋体"/>
          <w:color w:val="333333"/>
          <w:kern w:val="0"/>
          <w:sz w:val="32"/>
          <w:szCs w:val="32"/>
          <w:highlight w:val="none"/>
        </w:rPr>
        <w:t>万元，支出决算为</w:t>
      </w:r>
      <w:r>
        <w:rPr>
          <w:rFonts w:hint="eastAsia" w:ascii="仿宋_GB2312" w:hAnsi="宋体" w:eastAsia="仿宋_GB2312" w:cs="宋体"/>
          <w:color w:val="333333"/>
          <w:kern w:val="0"/>
          <w:sz w:val="32"/>
          <w:szCs w:val="32"/>
          <w:highlight w:val="none"/>
        </w:rPr>
        <w:t>6</w:t>
      </w:r>
      <w:r>
        <w:rPr>
          <w:rFonts w:ascii="仿宋_GB2312" w:hAnsi="宋体" w:eastAsia="仿宋_GB2312" w:cs="宋体"/>
          <w:color w:val="333333"/>
          <w:kern w:val="0"/>
          <w:sz w:val="32"/>
          <w:szCs w:val="32"/>
          <w:highlight w:val="none"/>
        </w:rPr>
        <w:t>.13</w:t>
      </w:r>
      <w:r>
        <w:rPr>
          <w:rFonts w:hint="eastAsia" w:ascii="仿宋_GB2312" w:hAnsi="宋体" w:eastAsia="仿宋_GB2312" w:cs="宋体"/>
          <w:color w:val="333333"/>
          <w:kern w:val="0"/>
          <w:sz w:val="32"/>
          <w:szCs w:val="32"/>
          <w:highlight w:val="none"/>
        </w:rPr>
        <w:t>万元，</w:t>
      </w:r>
      <w:r>
        <w:rPr>
          <w:rFonts w:hint="eastAsia" w:ascii="仿宋_GB2312" w:hAnsi="宋体" w:eastAsia="仿宋_GB2312" w:cs="宋体"/>
          <w:color w:val="333333"/>
          <w:kern w:val="0"/>
          <w:sz w:val="32"/>
          <w:szCs w:val="32"/>
          <w:highlight w:val="none"/>
        </w:rPr>
        <w:t>完成年初预算比例因年初预算金额为0，无法计算超预算百分比，决算数</w:t>
      </w:r>
      <w:r>
        <w:rPr>
          <w:rFonts w:hint="eastAsia" w:ascii="仿宋_GB2312" w:hAnsi="宋体" w:eastAsia="仿宋_GB2312" w:cs="宋体"/>
          <w:color w:val="333333"/>
          <w:kern w:val="0"/>
          <w:sz w:val="32"/>
          <w:szCs w:val="32"/>
          <w:highlight w:val="none"/>
          <w:lang w:eastAsia="zh-CN"/>
        </w:rPr>
        <w:t>大</w:t>
      </w:r>
      <w:r>
        <w:rPr>
          <w:rFonts w:hint="eastAsia" w:ascii="仿宋_GB2312" w:hAnsi="宋体" w:eastAsia="仿宋_GB2312" w:cs="宋体"/>
          <w:color w:val="333333"/>
          <w:kern w:val="0"/>
          <w:sz w:val="32"/>
          <w:szCs w:val="32"/>
          <w:highlight w:val="none"/>
        </w:rPr>
        <w:t>于年初预算数的主要原因是:</w:t>
      </w:r>
      <w:r>
        <w:rPr>
          <w:rFonts w:hint="eastAsia" w:ascii="仿宋_GB2312" w:hAnsi="宋体" w:eastAsia="仿宋_GB2312" w:cs="宋体"/>
          <w:color w:val="333333"/>
          <w:kern w:val="0"/>
          <w:sz w:val="32"/>
          <w:szCs w:val="32"/>
          <w:highlight w:val="none"/>
          <w:lang w:eastAsia="zh-CN"/>
        </w:rPr>
        <w:t>此</w:t>
      </w:r>
      <w:r>
        <w:rPr>
          <w:rFonts w:hint="eastAsia" w:ascii="仿宋_GB2312" w:hAnsi="宋体" w:eastAsia="仿宋_GB2312" w:cs="宋体"/>
          <w:color w:val="333333"/>
          <w:kern w:val="0"/>
          <w:sz w:val="32"/>
          <w:szCs w:val="32"/>
          <w:highlight w:val="none"/>
        </w:rPr>
        <w:t>项目支出的实际支出数</w:t>
      </w:r>
      <w:r>
        <w:rPr>
          <w:rFonts w:hint="eastAsia" w:ascii="仿宋_GB2312" w:hAnsi="宋体" w:eastAsia="仿宋_GB2312" w:cs="宋体"/>
          <w:color w:val="333333"/>
          <w:kern w:val="0"/>
          <w:sz w:val="32"/>
          <w:szCs w:val="32"/>
          <w:highlight w:val="none"/>
          <w:lang w:eastAsia="zh-CN"/>
        </w:rPr>
        <w:t>增加</w:t>
      </w:r>
      <w:r>
        <w:rPr>
          <w:rFonts w:hint="eastAsia" w:ascii="仿宋_GB2312" w:hAnsi="宋体" w:eastAsia="仿宋_GB2312" w:cs="宋体"/>
          <w:color w:val="333333"/>
          <w:kern w:val="0"/>
          <w:sz w:val="32"/>
          <w:szCs w:val="32"/>
          <w:highlight w:val="none"/>
        </w:rPr>
        <w:t>。</w:t>
      </w:r>
    </w:p>
    <w:p w14:paraId="4B075049">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7、农林水（类）农业农村（款）其他农业农村支出（项）</w:t>
      </w:r>
    </w:p>
    <w:p w14:paraId="6B78D47C">
      <w:pPr>
        <w:widowControl/>
        <w:ind w:firstLine="634"/>
        <w:rPr>
          <w:rFonts w:hint="eastAsia"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w:t>
      </w:r>
      <w:r>
        <w:rPr>
          <w:rFonts w:hint="eastAsia" w:ascii="仿宋_GB2312" w:hAnsi="宋体" w:eastAsia="仿宋_GB2312" w:cs="宋体"/>
          <w:color w:val="333333"/>
          <w:kern w:val="0"/>
          <w:sz w:val="32"/>
          <w:szCs w:val="32"/>
          <w:highlight w:val="none"/>
          <w:lang w:val="en-US" w:eastAsia="zh-CN"/>
        </w:rPr>
        <w:t>94.58</w:t>
      </w:r>
      <w:r>
        <w:rPr>
          <w:rFonts w:hint="eastAsia" w:ascii="仿宋_GB2312" w:hAnsi="宋体" w:eastAsia="仿宋_GB2312" w:cs="宋体"/>
          <w:color w:val="333333"/>
          <w:kern w:val="0"/>
          <w:sz w:val="32"/>
          <w:szCs w:val="32"/>
          <w:highlight w:val="none"/>
        </w:rPr>
        <w:t>万元，支出决算为</w:t>
      </w:r>
      <w:r>
        <w:rPr>
          <w:rFonts w:ascii="仿宋_GB2312" w:hAnsi="宋体" w:eastAsia="仿宋_GB2312" w:cs="宋体"/>
          <w:color w:val="333333"/>
          <w:kern w:val="0"/>
          <w:sz w:val="32"/>
          <w:szCs w:val="32"/>
          <w:highlight w:val="none"/>
        </w:rPr>
        <w:t>66.14</w:t>
      </w:r>
      <w:r>
        <w:rPr>
          <w:rFonts w:hint="eastAsia" w:ascii="仿宋_GB2312" w:hAnsi="宋体" w:eastAsia="仿宋_GB2312" w:cs="宋体"/>
          <w:color w:val="333333"/>
          <w:kern w:val="0"/>
          <w:sz w:val="32"/>
          <w:szCs w:val="32"/>
          <w:highlight w:val="none"/>
        </w:rPr>
        <w:t>万元，完成年初</w:t>
      </w:r>
      <w:r>
        <w:rPr>
          <w:rFonts w:hint="eastAsia" w:ascii="仿宋_GB2312" w:hAnsi="宋体" w:eastAsia="仿宋_GB2312" w:cs="宋体"/>
          <w:color w:val="333333"/>
          <w:kern w:val="0"/>
          <w:sz w:val="32"/>
          <w:szCs w:val="32"/>
          <w:highlight w:val="none"/>
        </w:rPr>
        <w:t>预算的</w:t>
      </w:r>
      <w:r>
        <w:rPr>
          <w:rFonts w:hint="eastAsia" w:ascii="仿宋_GB2312" w:hAnsi="宋体" w:eastAsia="仿宋_GB2312" w:cs="宋体"/>
          <w:color w:val="333333"/>
          <w:kern w:val="0"/>
          <w:sz w:val="32"/>
          <w:szCs w:val="32"/>
          <w:highlight w:val="none"/>
          <w:lang w:val="en-US" w:eastAsia="zh-CN"/>
        </w:rPr>
        <w:t>69.93</w:t>
      </w:r>
      <w:r>
        <w:rPr>
          <w:rFonts w:hint="eastAsia" w:ascii="仿宋_GB2312" w:hAnsi="宋体" w:eastAsia="仿宋_GB2312" w:cs="宋体"/>
          <w:color w:val="333333"/>
          <w:kern w:val="0"/>
          <w:sz w:val="32"/>
          <w:szCs w:val="32"/>
          <w:highlight w:val="none"/>
        </w:rPr>
        <w:t>%，决算数小于年初预算数的主要原因是:</w:t>
      </w:r>
      <w:r>
        <w:rPr>
          <w:rFonts w:hint="eastAsia" w:ascii="仿宋_GB2312" w:hAnsi="宋体" w:eastAsia="仿宋_GB2312" w:cs="宋体"/>
          <w:color w:val="333333"/>
          <w:kern w:val="0"/>
          <w:sz w:val="32"/>
          <w:szCs w:val="32"/>
          <w:highlight w:val="none"/>
          <w:lang w:eastAsia="zh-CN"/>
        </w:rPr>
        <w:t>此</w:t>
      </w:r>
      <w:r>
        <w:rPr>
          <w:rFonts w:hint="eastAsia" w:ascii="仿宋_GB2312" w:hAnsi="宋体" w:eastAsia="仿宋_GB2312" w:cs="宋体"/>
          <w:color w:val="333333"/>
          <w:kern w:val="0"/>
          <w:sz w:val="32"/>
          <w:szCs w:val="32"/>
          <w:highlight w:val="none"/>
        </w:rPr>
        <w:t>项目支出的实际支出数减少</w:t>
      </w:r>
      <w:r>
        <w:rPr>
          <w:rFonts w:hint="eastAsia" w:ascii="仿宋_GB2312" w:hAnsi="宋体" w:eastAsia="仿宋_GB2312" w:cs="宋体"/>
          <w:color w:val="333333"/>
          <w:kern w:val="0"/>
          <w:sz w:val="32"/>
          <w:szCs w:val="32"/>
          <w:highlight w:val="none"/>
        </w:rPr>
        <w:t>。</w:t>
      </w:r>
    </w:p>
    <w:p w14:paraId="61861D86">
      <w:pPr>
        <w:widowControl/>
        <w:ind w:firstLine="634"/>
        <w:rPr>
          <w:rFonts w:ascii="仿宋_GB2312" w:hAnsi="宋体" w:eastAsia="仿宋_GB2312" w:cs="宋体"/>
          <w:color w:val="333333"/>
          <w:kern w:val="0"/>
          <w:sz w:val="32"/>
          <w:szCs w:val="32"/>
          <w:highlight w:val="none"/>
        </w:rPr>
      </w:pPr>
      <w:r>
        <w:rPr>
          <w:rFonts w:ascii="仿宋_GB2312" w:hAnsi="宋体" w:eastAsia="仿宋_GB2312" w:cs="宋体"/>
          <w:color w:val="333333"/>
          <w:kern w:val="0"/>
          <w:sz w:val="32"/>
          <w:szCs w:val="32"/>
          <w:highlight w:val="none"/>
        </w:rPr>
        <w:t>8</w:t>
      </w:r>
      <w:r>
        <w:rPr>
          <w:rFonts w:hint="eastAsia" w:ascii="仿宋_GB2312" w:hAnsi="宋体" w:eastAsia="仿宋_GB2312" w:cs="宋体"/>
          <w:color w:val="333333"/>
          <w:kern w:val="0"/>
          <w:sz w:val="32"/>
          <w:szCs w:val="32"/>
          <w:highlight w:val="none"/>
        </w:rPr>
        <w:t>、</w:t>
      </w:r>
      <w:r>
        <w:rPr>
          <w:rFonts w:hint="eastAsia" w:ascii="Times New Roman" w:hAnsi="Times New Roman" w:eastAsia="仿宋_GB2312"/>
          <w:sz w:val="32"/>
          <w:szCs w:val="32"/>
          <w:highlight w:val="none"/>
        </w:rPr>
        <w:t>住房保障支出（类）住房改革支出（款）住房公积金（项）</w:t>
      </w:r>
    </w:p>
    <w:p w14:paraId="37017BAE">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年初预算为16.73万元，支出决算为16.73万元，完成年初预算的100%，决算数等于年初预算数</w:t>
      </w:r>
      <w:r>
        <w:rPr>
          <w:rFonts w:hint="eastAsia" w:ascii="仿宋_GB2312" w:hAnsi="宋体" w:eastAsia="仿宋_GB2312" w:cs="宋体"/>
          <w:color w:val="333333"/>
          <w:kern w:val="0"/>
          <w:sz w:val="32"/>
          <w:szCs w:val="32"/>
          <w:highlight w:val="none"/>
        </w:rPr>
        <w:t>的主要原因是：严格按照年初预算数执行。</w:t>
      </w:r>
    </w:p>
    <w:p w14:paraId="2E344658">
      <w:pPr>
        <w:pStyle w:val="15"/>
        <w:ind w:firstLine="640" w:firstLineChars="200"/>
        <w:rPr>
          <w:rFonts w:hAnsi="黑体"/>
          <w:b/>
          <w:sz w:val="32"/>
          <w:szCs w:val="32"/>
          <w:highlight w:val="none"/>
        </w:rPr>
      </w:pPr>
      <w:r>
        <w:rPr>
          <w:rFonts w:hint="eastAsia" w:hAnsi="黑体"/>
          <w:b/>
          <w:sz w:val="32"/>
          <w:szCs w:val="32"/>
          <w:highlight w:val="none"/>
        </w:rPr>
        <w:t>六、一般公共预算财政拨款基本支出决算情况说明</w:t>
      </w:r>
    </w:p>
    <w:p w14:paraId="13F6BE11">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2022年度财政拨款基本支出243.55万元，其中：人员经费228.48万元，占基本支出的93.81%,主要包括基本工资、</w:t>
      </w:r>
      <w:r>
        <w:rPr>
          <w:rFonts w:hint="eastAsia" w:ascii="仿宋_GB2312" w:hAnsi="宋体" w:eastAsia="仿宋_GB2312" w:cs="宋体"/>
          <w:color w:val="333333"/>
          <w:kern w:val="0"/>
          <w:sz w:val="32"/>
          <w:szCs w:val="32"/>
          <w:highlight w:val="none"/>
        </w:rPr>
        <w:t>津贴补贴、</w:t>
      </w:r>
      <w:r>
        <w:rPr>
          <w:rFonts w:hint="eastAsia" w:ascii="仿宋_GB2312" w:hAnsi="宋体" w:eastAsia="仿宋_GB2312" w:cs="宋体"/>
          <w:color w:val="333333"/>
          <w:kern w:val="0"/>
          <w:sz w:val="32"/>
          <w:szCs w:val="32"/>
          <w:highlight w:val="none"/>
        </w:rPr>
        <w:t>奖金、绩效工资、住房公积金、</w:t>
      </w:r>
      <w:r>
        <w:rPr>
          <w:rFonts w:hint="eastAsia" w:ascii="仿宋_GB2312" w:hAnsi="宋体" w:eastAsia="仿宋_GB2312" w:cs="宋体"/>
          <w:color w:val="333333"/>
          <w:kern w:val="0"/>
          <w:sz w:val="32"/>
          <w:szCs w:val="32"/>
          <w:highlight w:val="none"/>
        </w:rPr>
        <w:t>机关事业单位基本养老保险缴费、职工基本医疗保险、其他社会保障缴费、其他工资福利支出、生活补助</w:t>
      </w:r>
      <w:r>
        <w:rPr>
          <w:rFonts w:hint="eastAsia" w:ascii="仿宋_GB2312" w:hAnsi="宋体" w:eastAsia="仿宋_GB2312" w:cs="宋体"/>
          <w:color w:val="333333"/>
          <w:kern w:val="0"/>
          <w:sz w:val="32"/>
          <w:szCs w:val="32"/>
          <w:highlight w:val="none"/>
        </w:rPr>
        <w:t>；公用经费15.07万元，占基本支出的6.19%，主要包括办公费、</w:t>
      </w:r>
      <w:r>
        <w:rPr>
          <w:rFonts w:hint="eastAsia" w:ascii="仿宋_GB2312" w:hAnsi="宋体" w:eastAsia="仿宋_GB2312" w:cs="宋体"/>
          <w:color w:val="333333"/>
          <w:kern w:val="0"/>
          <w:sz w:val="32"/>
          <w:szCs w:val="32"/>
          <w:highlight w:val="none"/>
        </w:rPr>
        <w:t>电费、</w:t>
      </w:r>
      <w:r>
        <w:rPr>
          <w:rFonts w:hint="eastAsia" w:ascii="仿宋_GB2312" w:hAnsi="宋体" w:eastAsia="仿宋_GB2312" w:cs="宋体"/>
          <w:color w:val="333333"/>
          <w:kern w:val="0"/>
          <w:sz w:val="32"/>
          <w:szCs w:val="32"/>
          <w:highlight w:val="none"/>
        </w:rPr>
        <w:t>邮电费、</w:t>
      </w:r>
      <w:r>
        <w:rPr>
          <w:rFonts w:hint="eastAsia" w:ascii="仿宋_GB2312" w:hAnsi="宋体" w:eastAsia="仿宋_GB2312" w:cs="宋体"/>
          <w:color w:val="333333"/>
          <w:kern w:val="0"/>
          <w:sz w:val="32"/>
          <w:szCs w:val="32"/>
          <w:highlight w:val="none"/>
        </w:rPr>
        <w:t>差旅费、租赁费、会议费、培训费、公务接待费、工会经费、福利费、其他交通费用、其他商品和服务支出</w:t>
      </w:r>
      <w:r>
        <w:rPr>
          <w:rFonts w:hint="eastAsia" w:ascii="仿宋_GB2312" w:hAnsi="宋体" w:eastAsia="仿宋_GB2312" w:cs="宋体"/>
          <w:color w:val="333333"/>
          <w:kern w:val="0"/>
          <w:sz w:val="32"/>
          <w:szCs w:val="32"/>
          <w:highlight w:val="none"/>
        </w:rPr>
        <w:t>。</w:t>
      </w:r>
    </w:p>
    <w:p w14:paraId="2DFC6609">
      <w:pPr>
        <w:pStyle w:val="15"/>
        <w:ind w:firstLine="640" w:firstLineChars="200"/>
        <w:rPr>
          <w:rFonts w:hAnsi="黑体"/>
          <w:b/>
          <w:sz w:val="32"/>
          <w:szCs w:val="32"/>
          <w:highlight w:val="none"/>
        </w:rPr>
      </w:pPr>
      <w:r>
        <w:rPr>
          <w:rFonts w:hint="eastAsia" w:hAnsi="黑体"/>
          <w:b/>
          <w:sz w:val="32"/>
          <w:szCs w:val="32"/>
          <w:highlight w:val="none"/>
        </w:rPr>
        <w:t>七、一般公共预算财政拨款“三公”经费支出决算情况说明</w:t>
      </w:r>
    </w:p>
    <w:p w14:paraId="0100015A">
      <w:pPr>
        <w:widowControl/>
        <w:ind w:firstLine="648"/>
        <w:jc w:val="left"/>
        <w:rPr>
          <w:rFonts w:ascii="楷体_GB2312" w:hAnsi="宋体" w:eastAsia="楷体_GB2312" w:cs="宋体"/>
          <w:color w:val="333333"/>
          <w:kern w:val="0"/>
          <w:sz w:val="32"/>
          <w:szCs w:val="32"/>
          <w:highlight w:val="none"/>
        </w:rPr>
      </w:pPr>
      <w:r>
        <w:rPr>
          <w:rFonts w:hint="eastAsia" w:ascii="楷体_GB2312" w:hAnsi="宋体" w:eastAsia="楷体_GB2312" w:cs="宋体"/>
          <w:b/>
          <w:bCs/>
          <w:color w:val="333333"/>
          <w:kern w:val="0"/>
          <w:sz w:val="32"/>
          <w:szCs w:val="32"/>
          <w:highlight w:val="none"/>
        </w:rPr>
        <w:t>（一）“三公”经费财政拨款支出决算总体情况说明</w:t>
      </w:r>
    </w:p>
    <w:p w14:paraId="3464BCB4">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“三公”经费财政拨款支出预算为16.60万元，支出决算为16.60万元，完成预算的100%，其中：</w:t>
      </w:r>
    </w:p>
    <w:p w14:paraId="107DB935">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1、因公出国（境）费支出预算为0万元，支出决算为0万元，</w:t>
      </w:r>
      <w:r>
        <w:rPr>
          <w:rFonts w:hint="eastAsia" w:ascii="仿宋_GB2312" w:hAnsi="宋体" w:eastAsia="仿宋_GB2312" w:cs="宋体"/>
          <w:color w:val="333333"/>
          <w:kern w:val="0"/>
          <w:sz w:val="32"/>
          <w:szCs w:val="32"/>
          <w:highlight w:val="none"/>
        </w:rPr>
        <w:t>（完成年初预算比例因年初预算金额为0，无法计算超预算百分比）</w:t>
      </w:r>
      <w:r>
        <w:rPr>
          <w:rFonts w:hint="eastAsia" w:ascii="仿宋_GB2312" w:hAnsi="宋体" w:eastAsia="仿宋_GB2312" w:cs="宋体"/>
          <w:color w:val="333333"/>
          <w:kern w:val="0"/>
          <w:sz w:val="32"/>
          <w:szCs w:val="32"/>
          <w:highlight w:val="none"/>
        </w:rPr>
        <w:t>决算数等于年初预算数的主要原因是本单位未安排、发生此项支出，与上年相比</w:t>
      </w:r>
      <w:r>
        <w:rPr>
          <w:rFonts w:hint="eastAsia" w:ascii="仿宋_GB2312" w:hAnsi="宋体" w:eastAsia="仿宋_GB2312" w:cs="宋体"/>
          <w:color w:val="333333"/>
          <w:kern w:val="0"/>
          <w:sz w:val="32"/>
          <w:szCs w:val="32"/>
          <w:highlight w:val="none"/>
        </w:rPr>
        <w:t>持平</w:t>
      </w:r>
      <w:r>
        <w:rPr>
          <w:rFonts w:hint="eastAsia" w:ascii="仿宋_GB2312" w:hAnsi="宋体" w:eastAsia="仿宋_GB2312" w:cs="宋体"/>
          <w:color w:val="333333"/>
          <w:kern w:val="0"/>
          <w:sz w:val="32"/>
          <w:szCs w:val="32"/>
          <w:highlight w:val="none"/>
        </w:rPr>
        <w:t>，</w:t>
      </w:r>
      <w:r>
        <w:rPr>
          <w:rFonts w:hint="eastAsia" w:ascii="仿宋_GB2312" w:hAnsi="宋体" w:eastAsia="仿宋_GB2312" w:cs="宋体"/>
          <w:color w:val="333333"/>
          <w:kern w:val="0"/>
          <w:sz w:val="32"/>
          <w:szCs w:val="32"/>
          <w:highlight w:val="none"/>
        </w:rPr>
        <w:t>持平的</w:t>
      </w:r>
      <w:r>
        <w:rPr>
          <w:rFonts w:hint="eastAsia" w:ascii="仿宋_GB2312" w:hAnsi="宋体" w:eastAsia="仿宋_GB2312" w:cs="宋体"/>
          <w:color w:val="333333"/>
          <w:kern w:val="0"/>
          <w:sz w:val="32"/>
          <w:szCs w:val="32"/>
          <w:highlight w:val="none"/>
        </w:rPr>
        <w:t>主要原因是本单位未安排、发生此项支出。</w:t>
      </w:r>
    </w:p>
    <w:p w14:paraId="565D7759">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公务接待费支出预算16.60万元，支出决算为16.60万元，完成预算的100%，决算数等于年初预算数的主要原因是严格按预算执行，与上年相比增加2.17万元，增长15.04%,增长的主要原因是全年来信、来访办理农经业务的人次对比上年有所增长。</w:t>
      </w:r>
    </w:p>
    <w:p w14:paraId="38F8993D">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3、公务用车购置费及运行维护费支出预算为0万元，支出决算为0万元</w:t>
      </w:r>
      <w:r>
        <w:rPr>
          <w:rFonts w:hint="eastAsia" w:ascii="仿宋_GB2312" w:hAnsi="宋体" w:eastAsia="仿宋_GB2312" w:cs="宋体"/>
          <w:color w:val="333333"/>
          <w:kern w:val="0"/>
          <w:sz w:val="32"/>
          <w:szCs w:val="32"/>
          <w:highlight w:val="none"/>
        </w:rPr>
        <w:t>（完成年初预算比例因年初预算金额为0，无法计算超预算百分比）</w:t>
      </w:r>
      <w:r>
        <w:rPr>
          <w:rFonts w:hint="eastAsia" w:ascii="仿宋_GB2312" w:hAnsi="宋体" w:eastAsia="仿宋_GB2312" w:cs="宋体"/>
          <w:color w:val="333333"/>
          <w:kern w:val="0"/>
          <w:sz w:val="32"/>
          <w:szCs w:val="32"/>
          <w:highlight w:val="none"/>
        </w:rPr>
        <w:t>，决算数等于年初预算的主要原因是本单位未安排、发生此项支出，与上年相比</w:t>
      </w:r>
      <w:r>
        <w:rPr>
          <w:rFonts w:hint="eastAsia" w:ascii="仿宋_GB2312" w:hAnsi="宋体" w:eastAsia="仿宋_GB2312" w:cs="宋体"/>
          <w:color w:val="333333"/>
          <w:kern w:val="0"/>
          <w:sz w:val="32"/>
          <w:szCs w:val="32"/>
          <w:highlight w:val="none"/>
        </w:rPr>
        <w:t>持平，持平</w:t>
      </w:r>
      <w:r>
        <w:rPr>
          <w:rFonts w:hint="eastAsia" w:ascii="仿宋_GB2312" w:hAnsi="宋体" w:eastAsia="仿宋_GB2312" w:cs="宋体"/>
          <w:color w:val="333333"/>
          <w:kern w:val="0"/>
          <w:sz w:val="32"/>
          <w:szCs w:val="32"/>
          <w:highlight w:val="none"/>
        </w:rPr>
        <w:t>的主要原因是公车改革后我单位取消了公务车辆。</w:t>
      </w:r>
    </w:p>
    <w:p w14:paraId="4776E8BF">
      <w:pPr>
        <w:widowControl/>
        <w:ind w:firstLine="648"/>
        <w:jc w:val="left"/>
        <w:rPr>
          <w:rFonts w:ascii="楷体_GB2312" w:hAnsi="宋体" w:eastAsia="楷体_GB2312" w:cs="宋体"/>
          <w:color w:val="333333"/>
          <w:kern w:val="0"/>
          <w:sz w:val="32"/>
          <w:szCs w:val="32"/>
          <w:highlight w:val="none"/>
        </w:rPr>
      </w:pPr>
      <w:r>
        <w:rPr>
          <w:rFonts w:hint="eastAsia" w:ascii="楷体_GB2312" w:hAnsi="宋体" w:eastAsia="楷体_GB2312" w:cs="宋体"/>
          <w:b/>
          <w:bCs/>
          <w:color w:val="333333"/>
          <w:kern w:val="0"/>
          <w:sz w:val="32"/>
          <w:szCs w:val="32"/>
          <w:highlight w:val="none"/>
        </w:rPr>
        <w:t>（二）“三公”经费财政拨款支出决算具体情况说明</w:t>
      </w:r>
    </w:p>
    <w:p w14:paraId="4FD2EB27">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2022年度“三公”经费财政拨款支出决算中，公务接待费支出决算16.60万元，占100%,因公出国（境）费支出决算0万元,占0%,公务用车购置费及运行维护费支出决算0万元,占0%。其中：</w:t>
      </w:r>
    </w:p>
    <w:p w14:paraId="2162DD60">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1、因公出国（境）费支出决算为0万元，全年安排因公出国（境）团组0个，累计0人次,无开支内容。</w:t>
      </w:r>
    </w:p>
    <w:p w14:paraId="487CDB6C">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2、公务接待费支出决算为16.60万元，全年共接待来访团组170个、来宾1580人次，主要是农经工作日常业务活动及一般职能项目支出发生的接待支出。</w:t>
      </w:r>
    </w:p>
    <w:p w14:paraId="261A22E3">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3、公务用车购置费及运行维护费支出决算为0万元，其中：公务用车购置费0万元，更新公务用车0辆，公务用车运行维护费0万元。截止2022年12月31日，我单位开支财政拨款的公务用车保有量为0辆。</w:t>
      </w:r>
    </w:p>
    <w:p w14:paraId="61BCB717">
      <w:pPr>
        <w:pStyle w:val="15"/>
        <w:ind w:firstLine="640" w:firstLineChars="200"/>
        <w:rPr>
          <w:rFonts w:hAnsi="黑体"/>
          <w:b/>
          <w:sz w:val="32"/>
          <w:szCs w:val="32"/>
          <w:highlight w:val="none"/>
        </w:rPr>
      </w:pPr>
      <w:r>
        <w:rPr>
          <w:rFonts w:hint="eastAsia" w:hAnsi="黑体"/>
          <w:b/>
          <w:sz w:val="32"/>
          <w:szCs w:val="32"/>
          <w:highlight w:val="none"/>
        </w:rPr>
        <w:t>八、政府性基金预算收入支出决算情况</w:t>
      </w:r>
    </w:p>
    <w:p w14:paraId="6EA766C0">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本单位无政府性基金收支。</w:t>
      </w:r>
    </w:p>
    <w:p w14:paraId="6965E80C">
      <w:pPr>
        <w:pStyle w:val="15"/>
        <w:ind w:firstLine="640" w:firstLineChars="200"/>
        <w:rPr>
          <w:rFonts w:hAnsi="黑体"/>
          <w:b/>
          <w:sz w:val="32"/>
          <w:szCs w:val="32"/>
          <w:highlight w:val="none"/>
        </w:rPr>
      </w:pPr>
      <w:r>
        <w:rPr>
          <w:rFonts w:hint="eastAsia" w:hAnsi="黑体"/>
          <w:b/>
          <w:sz w:val="32"/>
          <w:szCs w:val="32"/>
          <w:highlight w:val="none"/>
        </w:rPr>
        <w:t>九、机关运行经费支出说明</w:t>
      </w:r>
    </w:p>
    <w:p w14:paraId="5E3613DF">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本部门2022年度机关运行经费支出15.07万元，</w:t>
      </w:r>
      <w:r>
        <w:rPr>
          <w:rFonts w:hint="eastAsia" w:ascii="仿宋_GB2312" w:hAnsi="宋体" w:eastAsia="仿宋_GB2312" w:cs="宋体"/>
          <w:color w:val="333333"/>
          <w:kern w:val="0"/>
          <w:sz w:val="32"/>
          <w:szCs w:val="32"/>
          <w:highlight w:val="none"/>
        </w:rPr>
        <w:t>比</w:t>
      </w:r>
      <w:r>
        <w:rPr>
          <w:rFonts w:hint="eastAsia" w:ascii="仿宋_GB2312" w:hAnsi="宋体" w:eastAsia="仿宋_GB2312" w:cs="宋体"/>
          <w:color w:val="333333"/>
          <w:kern w:val="0"/>
          <w:sz w:val="32"/>
          <w:szCs w:val="32"/>
          <w:highlight w:val="none"/>
          <w:lang w:eastAsia="zh-CN"/>
        </w:rPr>
        <w:t>年初预算</w:t>
      </w:r>
      <w:bookmarkStart w:id="0" w:name="_GoBack"/>
      <w:bookmarkEnd w:id="0"/>
      <w:r>
        <w:rPr>
          <w:rFonts w:hint="eastAsia" w:ascii="仿宋_GB2312" w:hAnsi="宋体" w:eastAsia="仿宋_GB2312" w:cs="宋体"/>
          <w:color w:val="333333"/>
          <w:kern w:val="0"/>
          <w:sz w:val="32"/>
          <w:szCs w:val="32"/>
          <w:highlight w:val="none"/>
          <w:lang w:eastAsia="zh-CN"/>
        </w:rPr>
        <w:t>数</w:t>
      </w:r>
      <w:r>
        <w:rPr>
          <w:rFonts w:hint="eastAsia" w:ascii="仿宋_GB2312" w:hAnsi="宋体" w:eastAsia="仿宋_GB2312" w:cs="宋体"/>
          <w:color w:val="333333"/>
          <w:kern w:val="0"/>
          <w:sz w:val="32"/>
          <w:szCs w:val="32"/>
          <w:highlight w:val="none"/>
          <w:lang w:val="en-US" w:eastAsia="zh-CN"/>
        </w:rPr>
        <w:t>37.60</w:t>
      </w:r>
      <w:r>
        <w:rPr>
          <w:rFonts w:hint="eastAsia" w:ascii="仿宋_GB2312" w:hAnsi="宋体" w:eastAsia="仿宋_GB2312" w:cs="宋体"/>
          <w:color w:val="333333"/>
          <w:kern w:val="0"/>
          <w:sz w:val="32"/>
          <w:szCs w:val="32"/>
          <w:highlight w:val="none"/>
        </w:rPr>
        <w:t>万元减少</w:t>
      </w:r>
      <w:r>
        <w:rPr>
          <w:rFonts w:hint="eastAsia" w:ascii="仿宋_GB2312" w:hAnsi="宋体" w:eastAsia="仿宋_GB2312" w:cs="宋体"/>
          <w:color w:val="333333"/>
          <w:kern w:val="0"/>
          <w:sz w:val="32"/>
          <w:szCs w:val="32"/>
          <w:highlight w:val="none"/>
          <w:lang w:val="en-US" w:eastAsia="zh-CN"/>
        </w:rPr>
        <w:t>22.53</w:t>
      </w:r>
      <w:r>
        <w:rPr>
          <w:rFonts w:hint="eastAsia" w:ascii="仿宋_GB2312" w:hAnsi="宋体" w:eastAsia="仿宋_GB2312" w:cs="宋体"/>
          <w:color w:val="333333"/>
          <w:kern w:val="0"/>
          <w:sz w:val="32"/>
          <w:szCs w:val="32"/>
          <w:highlight w:val="none"/>
        </w:rPr>
        <w:t>万元，降低</w:t>
      </w:r>
      <w:r>
        <w:rPr>
          <w:rFonts w:hint="eastAsia" w:ascii="仿宋_GB2312" w:hAnsi="宋体" w:eastAsia="仿宋_GB2312" w:cs="宋体"/>
          <w:color w:val="333333"/>
          <w:kern w:val="0"/>
          <w:sz w:val="32"/>
          <w:szCs w:val="32"/>
          <w:highlight w:val="none"/>
          <w:lang w:val="en-US" w:eastAsia="zh-CN"/>
        </w:rPr>
        <w:t>59.92</w:t>
      </w:r>
      <w:r>
        <w:rPr>
          <w:rFonts w:hint="eastAsia" w:ascii="仿宋_GB2312" w:hAnsi="宋体" w:eastAsia="仿宋_GB2312" w:cs="宋体"/>
          <w:color w:val="333333"/>
          <w:kern w:val="0"/>
          <w:sz w:val="32"/>
          <w:szCs w:val="32"/>
          <w:highlight w:val="none"/>
        </w:rPr>
        <w:t>%。主要原因是：厉行节约，反对铺张浪费。与年初预算数相比数据一致。</w:t>
      </w:r>
    </w:p>
    <w:p w14:paraId="6EBE910E">
      <w:pPr>
        <w:pStyle w:val="15"/>
        <w:ind w:firstLine="640" w:firstLineChars="200"/>
        <w:rPr>
          <w:rFonts w:hAnsi="黑体"/>
          <w:b/>
          <w:sz w:val="32"/>
          <w:szCs w:val="32"/>
          <w:highlight w:val="none"/>
        </w:rPr>
      </w:pPr>
      <w:r>
        <w:rPr>
          <w:rFonts w:hint="eastAsia" w:hAnsi="黑体"/>
          <w:b/>
          <w:sz w:val="32"/>
          <w:szCs w:val="32"/>
          <w:highlight w:val="none"/>
        </w:rPr>
        <w:t>十、一般性支出情况说明</w:t>
      </w:r>
    </w:p>
    <w:p w14:paraId="665FC86D">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2022年本单位开支会议费7.90万元，用于召开全县范围内农经及相关业务会议，约1280余人次，内容为农经及相关业务工作；开支培训费4.20万元，用于开展农经培训及相关业务知识的培训，约850余人次，内容为农村土地承包管理、农民负担监督管理、农村集体资产财务管理、农民专业合作组织指导等培训；未举办其他节庆、晚会、论坛、赛事活动等活动。</w:t>
      </w:r>
    </w:p>
    <w:p w14:paraId="6B15D095">
      <w:pPr>
        <w:pStyle w:val="15"/>
        <w:ind w:firstLine="640" w:firstLineChars="200"/>
        <w:rPr>
          <w:rFonts w:hAnsi="黑体"/>
          <w:b/>
          <w:sz w:val="32"/>
          <w:szCs w:val="32"/>
          <w:highlight w:val="none"/>
        </w:rPr>
      </w:pPr>
      <w:r>
        <w:rPr>
          <w:rFonts w:hint="eastAsia" w:hAnsi="黑体"/>
          <w:b/>
          <w:sz w:val="32"/>
          <w:szCs w:val="32"/>
          <w:highlight w:val="none"/>
        </w:rPr>
        <w:t>十一、政府采购支出说明</w:t>
      </w:r>
    </w:p>
    <w:p w14:paraId="47971388">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本部门2022年度政府采购支出总额0万元，其中：政府采购货物支出0万元、政府采购工程支出0万元、政府采购服务支出0万元。授予中小企业合同金额0万，占政府采购支出总额的0%。其中：授予小微企业合同金额0万元，占政府采购支出总额的0%。</w:t>
      </w:r>
    </w:p>
    <w:p w14:paraId="0342075F">
      <w:pPr>
        <w:pStyle w:val="15"/>
        <w:ind w:firstLine="640" w:firstLineChars="200"/>
        <w:rPr>
          <w:rFonts w:hAnsi="黑体"/>
          <w:b/>
          <w:sz w:val="32"/>
          <w:szCs w:val="32"/>
          <w:highlight w:val="none"/>
        </w:rPr>
      </w:pPr>
      <w:r>
        <w:rPr>
          <w:rFonts w:hint="eastAsia" w:hAnsi="黑体"/>
          <w:b/>
          <w:sz w:val="32"/>
          <w:szCs w:val="32"/>
          <w:highlight w:val="none"/>
        </w:rPr>
        <w:t>十二、国有资产占用情况说明</w:t>
      </w:r>
    </w:p>
    <w:p w14:paraId="08989358">
      <w:pPr>
        <w:pStyle w:val="15"/>
        <w:ind w:left="16" w:leftChars="8" w:firstLine="617" w:firstLineChars="193"/>
        <w:rPr>
          <w:rFonts w:ascii="仿宋_GB2312" w:hAnsi="宋体" w:eastAsia="仿宋_GB2312" w:cs="宋体"/>
          <w:color w:val="333333"/>
          <w:sz w:val="32"/>
          <w:szCs w:val="32"/>
          <w:highlight w:val="none"/>
        </w:rPr>
      </w:pPr>
      <w:r>
        <w:rPr>
          <w:rFonts w:hint="eastAsia" w:ascii="仿宋_GB2312" w:hAnsi="宋体" w:eastAsia="仿宋_GB2312" w:cs="宋体"/>
          <w:color w:val="333333"/>
          <w:sz w:val="32"/>
          <w:szCs w:val="32"/>
          <w:highlight w:val="none"/>
        </w:rPr>
        <w:t>截至2022年12月31日，本单位共有车辆0辆，其中，领导干部用车0辆、机要通信用车0辆、应急保障用车0辆、执法执勤用车0辆、特种专业技术用车0辆、其他用车0 辆；单位价值50万元以上通用设备0台（套）；单位价值100万元以上专用设备0台（套）。</w:t>
      </w:r>
    </w:p>
    <w:p w14:paraId="37128786">
      <w:pPr>
        <w:pStyle w:val="15"/>
        <w:ind w:firstLine="640" w:firstLineChars="200"/>
        <w:rPr>
          <w:rFonts w:hAnsi="黑体"/>
          <w:b/>
          <w:sz w:val="32"/>
          <w:szCs w:val="32"/>
          <w:highlight w:val="none"/>
        </w:rPr>
      </w:pPr>
      <w:r>
        <w:rPr>
          <w:rFonts w:hint="eastAsia" w:hAnsi="黑体"/>
          <w:b/>
          <w:sz w:val="32"/>
          <w:szCs w:val="32"/>
          <w:highlight w:val="none"/>
        </w:rPr>
        <w:t>十三、2022年度预算绩效情况说明</w:t>
      </w:r>
    </w:p>
    <w:p w14:paraId="180924F8">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根据《中共中央国务院关于全面实施预算绩效管理的意见》（中发〔2018〕34号）、《中共湖南省委办公厅 湖南省人民政府办公厅关于全面实施预算绩效管理的实施意见（湘办发〔2019〕10号）文件精神，结合《常德市财政局关于开展2023年度部门绩效自评工作的通知》要求，为进一步规范财政资金管理，强化绩效和责任意识，切实提高财政资金使用效益，我单位对2022年度部门整体支出、单位项目支出、重点（专项）项目支出进行了绩效自评。</w:t>
      </w:r>
    </w:p>
    <w:p w14:paraId="0ED19AF2">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部门整体支出绩效自评得分100分，评价等级为“优”；</w:t>
      </w:r>
    </w:p>
    <w:p w14:paraId="7DD5A5FF">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本单位无项目支出，故没有项目支出绩效自评得分级评价等级。</w:t>
      </w:r>
    </w:p>
    <w:p w14:paraId="7536E75A">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本单位无重点项目（专项）支出，故没有重点项目（专项）支出自评得分级评价等级。</w:t>
      </w:r>
    </w:p>
    <w:p w14:paraId="36B2DA4B">
      <w:pPr>
        <w:widowControl/>
        <w:ind w:firstLine="634"/>
        <w:rPr>
          <w:rFonts w:ascii="仿宋_GB2312" w:hAnsi="宋体" w:eastAsia="仿宋_GB2312" w:cs="宋体"/>
          <w:color w:val="333333"/>
          <w:kern w:val="0"/>
          <w:sz w:val="32"/>
          <w:szCs w:val="32"/>
          <w:highlight w:val="none"/>
        </w:rPr>
      </w:pPr>
      <w:r>
        <w:rPr>
          <w:rFonts w:hint="eastAsia" w:ascii="仿宋_GB2312" w:hAnsi="宋体" w:eastAsia="仿宋_GB2312" w:cs="宋体"/>
          <w:color w:val="333333"/>
          <w:kern w:val="0"/>
          <w:sz w:val="32"/>
          <w:szCs w:val="32"/>
          <w:highlight w:val="none"/>
        </w:rPr>
        <w:t>已按市财政局统一要求在政府网站公开。</w:t>
      </w:r>
    </w:p>
    <w:p w14:paraId="229453DC">
      <w:pPr>
        <w:pStyle w:val="15"/>
        <w:jc w:val="center"/>
        <w:rPr>
          <w:sz w:val="72"/>
          <w:szCs w:val="72"/>
          <w:highlight w:val="none"/>
        </w:rPr>
      </w:pPr>
    </w:p>
    <w:p w14:paraId="5C3EC25E">
      <w:pPr>
        <w:pStyle w:val="15"/>
        <w:jc w:val="center"/>
        <w:rPr>
          <w:sz w:val="72"/>
          <w:szCs w:val="72"/>
          <w:highlight w:val="none"/>
        </w:rPr>
      </w:pPr>
    </w:p>
    <w:p w14:paraId="49C599CE">
      <w:pPr>
        <w:pStyle w:val="15"/>
        <w:rPr>
          <w:sz w:val="72"/>
          <w:szCs w:val="72"/>
          <w:highlight w:val="none"/>
        </w:rPr>
      </w:pPr>
    </w:p>
    <w:p w14:paraId="529999C0">
      <w:pPr>
        <w:pStyle w:val="15"/>
        <w:jc w:val="center"/>
        <w:rPr>
          <w:sz w:val="72"/>
          <w:szCs w:val="72"/>
          <w:highlight w:val="none"/>
        </w:rPr>
      </w:pPr>
    </w:p>
    <w:p w14:paraId="4D788762">
      <w:pPr>
        <w:pStyle w:val="15"/>
        <w:jc w:val="center"/>
        <w:rPr>
          <w:sz w:val="72"/>
          <w:szCs w:val="72"/>
          <w:highlight w:val="none"/>
        </w:rPr>
      </w:pPr>
    </w:p>
    <w:p w14:paraId="6F526930">
      <w:pPr>
        <w:pStyle w:val="15"/>
        <w:jc w:val="center"/>
        <w:rPr>
          <w:sz w:val="72"/>
          <w:szCs w:val="72"/>
          <w:highlight w:val="none"/>
        </w:rPr>
      </w:pPr>
    </w:p>
    <w:p w14:paraId="0B03AADA">
      <w:pPr>
        <w:pStyle w:val="15"/>
        <w:jc w:val="center"/>
        <w:rPr>
          <w:sz w:val="84"/>
          <w:szCs w:val="84"/>
          <w:highlight w:val="none"/>
        </w:rPr>
      </w:pPr>
      <w:r>
        <w:rPr>
          <w:rFonts w:hint="eastAsia"/>
          <w:sz w:val="84"/>
          <w:szCs w:val="84"/>
          <w:highlight w:val="none"/>
        </w:rPr>
        <w:t>第四部分</w:t>
      </w:r>
    </w:p>
    <w:p w14:paraId="0193D15B">
      <w:pPr>
        <w:pStyle w:val="15"/>
        <w:jc w:val="center"/>
        <w:rPr>
          <w:sz w:val="84"/>
          <w:szCs w:val="84"/>
          <w:highlight w:val="none"/>
        </w:rPr>
      </w:pPr>
    </w:p>
    <w:p w14:paraId="65BF1ADC">
      <w:pPr>
        <w:pStyle w:val="15"/>
        <w:jc w:val="center"/>
        <w:rPr>
          <w:sz w:val="84"/>
          <w:szCs w:val="84"/>
          <w:highlight w:val="none"/>
        </w:rPr>
      </w:pPr>
      <w:r>
        <w:rPr>
          <w:rFonts w:hint="eastAsia"/>
          <w:sz w:val="84"/>
          <w:szCs w:val="84"/>
          <w:highlight w:val="none"/>
        </w:rPr>
        <w:t>名词解释</w:t>
      </w:r>
    </w:p>
    <w:p w14:paraId="1DF20EAF">
      <w:pPr>
        <w:widowControl/>
        <w:jc w:val="left"/>
        <w:rPr>
          <w:rFonts w:ascii="黑体" w:eastAsia="黑体" w:cs="黑体"/>
          <w:color w:val="000000"/>
          <w:kern w:val="0"/>
          <w:sz w:val="70"/>
          <w:szCs w:val="70"/>
          <w:highlight w:val="none"/>
        </w:rPr>
      </w:pPr>
      <w:r>
        <w:rPr>
          <w:rFonts w:ascii="黑体" w:eastAsia="黑体" w:cs="黑体"/>
          <w:color w:val="000000"/>
          <w:kern w:val="0"/>
          <w:sz w:val="70"/>
          <w:szCs w:val="70"/>
          <w:highlight w:val="none"/>
        </w:rPr>
        <w:br w:type="page"/>
      </w:r>
    </w:p>
    <w:p w14:paraId="00B8E69C">
      <w:pPr>
        <w:widowControl/>
        <w:ind w:firstLine="562"/>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一、财政拨款收入：指中央财政当年拨付的资金。</w:t>
      </w:r>
    </w:p>
    <w:p w14:paraId="6764D23E">
      <w:pPr>
        <w:widowControl/>
        <w:ind w:firstLine="562"/>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二、事业收入：指事业单位开展专业业务活动及辅助活动所取得的收入。如：中国财政杂志社的刊物发行收入，中国注册会计师协会、中国资产评估协会、中国国债协会、中国会计学会收取的会费收入等。</w:t>
      </w:r>
    </w:p>
    <w:p w14:paraId="4BF47943">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三、经营收入：指事业单位在专业业务活动及其辅助活动之外开展非独立核算经营活动取得的收入。如：中国财政杂志社广告收入等。</w:t>
      </w:r>
    </w:p>
    <w:p w14:paraId="1C821068">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四、其他收入：指除上述“财政拨款收入” 、 “事业收入” 、“经营收入”等以外的收入。主要是按规定动用的售房收入、存款利息收入等。</w:t>
      </w:r>
    </w:p>
    <w:p w14:paraId="28DF73F8">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2C326BA3">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六、年初结转和结余：指以前年度尚未完成、结转到本年按有关规定继续使用的资金。</w:t>
      </w:r>
    </w:p>
    <w:p w14:paraId="7854180B">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七、结余分配：指事业单位按规定提取的职工福利基金、事业基金和缴纳的所得税，以及建设单位按规定应交回的基本建设竣工项目结余资金。</w:t>
      </w:r>
    </w:p>
    <w:p w14:paraId="0C67006B">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八、年末结转和结余：指本年度或以前年度预算安排、因客观条件发生变化无法按原计划实施，需要延迟到以后年度按有关规定继续使用的资金。</w:t>
      </w:r>
    </w:p>
    <w:p w14:paraId="416CFD8F">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九、基本支出：指为保障机构正常运转、完成日常工作任务而发生的人员支出和公用支出。</w:t>
      </w:r>
    </w:p>
    <w:p w14:paraId="5441C87A">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十、项目支出：指在基本支出之外为完成特定行政任务和事业发展目标所发生的支出。</w:t>
      </w:r>
    </w:p>
    <w:p w14:paraId="1AC91E45">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十一、经营支出：指事业单位在专业业务活动及其辅助活动之外开展非独立核算经营活动发生的支出。</w:t>
      </w:r>
    </w:p>
    <w:p w14:paraId="37695DE5">
      <w:pPr>
        <w:widowControl/>
        <w:ind w:firstLine="634"/>
        <w:rPr>
          <w:rFonts w:ascii="仿宋_GB2312" w:hAnsi="仿宋_GB2312" w:eastAsia="仿宋_GB2312" w:cs="仿宋_GB2312"/>
          <w:color w:val="333333"/>
          <w:kern w:val="0"/>
          <w:sz w:val="32"/>
          <w:szCs w:val="32"/>
          <w:highlight w:val="none"/>
        </w:rPr>
      </w:pPr>
      <w:r>
        <w:rPr>
          <w:rFonts w:hint="eastAsia" w:ascii="仿宋_GB2312" w:hAnsi="仿宋_GB2312" w:eastAsia="仿宋_GB2312" w:cs="仿宋_GB2312"/>
          <w:color w:val="333333"/>
          <w:kern w:val="0"/>
          <w:sz w:val="32"/>
          <w:szCs w:val="32"/>
          <w:highlight w:val="none"/>
        </w:rPr>
        <w:t>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869790E">
      <w:pPr>
        <w:widowControl/>
        <w:ind w:firstLine="634"/>
        <w:rPr>
          <w:rFonts w:ascii="仿宋_GB2312" w:hAnsi="仿宋_GB2312" w:eastAsia="仿宋_GB2312" w:cs="仿宋_GB2312"/>
          <w:sz w:val="32"/>
          <w:szCs w:val="32"/>
          <w:highlight w:val="none"/>
        </w:rPr>
      </w:pPr>
      <w:r>
        <w:rPr>
          <w:rFonts w:hint="eastAsia" w:ascii="仿宋_GB2312" w:hAnsi="仿宋_GB2312" w:eastAsia="仿宋_GB2312" w:cs="仿宋_GB2312"/>
          <w:color w:val="333333"/>
          <w:kern w:val="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418E062">
      <w:pPr>
        <w:pStyle w:val="15"/>
        <w:jc w:val="center"/>
        <w:rPr>
          <w:sz w:val="72"/>
          <w:szCs w:val="72"/>
          <w:highlight w:val="none"/>
        </w:rPr>
      </w:pPr>
    </w:p>
    <w:p w14:paraId="7F34438E">
      <w:pPr>
        <w:pStyle w:val="15"/>
        <w:jc w:val="center"/>
        <w:rPr>
          <w:sz w:val="72"/>
          <w:szCs w:val="72"/>
          <w:highlight w:val="none"/>
        </w:rPr>
      </w:pPr>
    </w:p>
    <w:p w14:paraId="63728570">
      <w:pPr>
        <w:pStyle w:val="15"/>
        <w:jc w:val="center"/>
        <w:rPr>
          <w:sz w:val="72"/>
          <w:szCs w:val="72"/>
          <w:highlight w:val="none"/>
        </w:rPr>
      </w:pPr>
    </w:p>
    <w:p w14:paraId="380B0657">
      <w:pPr>
        <w:pStyle w:val="15"/>
        <w:jc w:val="center"/>
        <w:rPr>
          <w:sz w:val="72"/>
          <w:szCs w:val="72"/>
          <w:highlight w:val="none"/>
        </w:rPr>
      </w:pPr>
    </w:p>
    <w:p w14:paraId="3D7A967B">
      <w:pPr>
        <w:pStyle w:val="15"/>
        <w:jc w:val="center"/>
        <w:rPr>
          <w:sz w:val="72"/>
          <w:szCs w:val="72"/>
          <w:highlight w:val="none"/>
        </w:rPr>
      </w:pPr>
    </w:p>
    <w:p w14:paraId="4AB3FFA8">
      <w:pPr>
        <w:pStyle w:val="15"/>
        <w:jc w:val="center"/>
        <w:rPr>
          <w:sz w:val="84"/>
          <w:szCs w:val="84"/>
          <w:highlight w:val="none"/>
        </w:rPr>
      </w:pPr>
      <w:r>
        <w:rPr>
          <w:rFonts w:hint="eastAsia"/>
          <w:sz w:val="84"/>
          <w:szCs w:val="84"/>
          <w:highlight w:val="none"/>
        </w:rPr>
        <w:t>第五部分</w:t>
      </w:r>
    </w:p>
    <w:p w14:paraId="28549D77">
      <w:pPr>
        <w:pStyle w:val="15"/>
        <w:jc w:val="center"/>
        <w:rPr>
          <w:sz w:val="84"/>
          <w:szCs w:val="84"/>
          <w:highlight w:val="none"/>
        </w:rPr>
      </w:pPr>
    </w:p>
    <w:p w14:paraId="11A7F673">
      <w:pPr>
        <w:pStyle w:val="15"/>
        <w:jc w:val="center"/>
        <w:rPr>
          <w:sz w:val="84"/>
          <w:szCs w:val="84"/>
          <w:highlight w:val="none"/>
        </w:rPr>
      </w:pPr>
      <w:r>
        <w:rPr>
          <w:rFonts w:hint="eastAsia"/>
          <w:sz w:val="84"/>
          <w:szCs w:val="84"/>
          <w:highlight w:val="none"/>
        </w:rPr>
        <w:t>附件</w:t>
      </w:r>
    </w:p>
    <w:p w14:paraId="17BA079A">
      <w:pPr>
        <w:widowControl/>
        <w:jc w:val="left"/>
        <w:rPr>
          <w:rFonts w:eastAsia="仿宋" w:cs="Times New Roman"/>
          <w:kern w:val="0"/>
          <w:sz w:val="24"/>
          <w:szCs w:val="24"/>
          <w:highlight w:val="none"/>
        </w:rPr>
      </w:pPr>
    </w:p>
    <w:sectPr>
      <w:pgSz w:w="11906" w:h="16838"/>
      <w:pgMar w:top="1440" w:right="1566" w:bottom="1440" w:left="13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Y0YTdlMTA4NjVhYTk1MzQxZTNlOWIxZTA0ZWNjOWQifQ=="/>
  </w:docVars>
  <w:rsids>
    <w:rsidRoot w:val="004506F9"/>
    <w:rsid w:val="00013003"/>
    <w:rsid w:val="0002229B"/>
    <w:rsid w:val="000273BD"/>
    <w:rsid w:val="000415B7"/>
    <w:rsid w:val="00041E3F"/>
    <w:rsid w:val="00055DAA"/>
    <w:rsid w:val="00061F7B"/>
    <w:rsid w:val="000658A3"/>
    <w:rsid w:val="00074155"/>
    <w:rsid w:val="000873EF"/>
    <w:rsid w:val="000A3F69"/>
    <w:rsid w:val="00103957"/>
    <w:rsid w:val="00124A1F"/>
    <w:rsid w:val="00144AB3"/>
    <w:rsid w:val="00152C6D"/>
    <w:rsid w:val="00162D39"/>
    <w:rsid w:val="001678BD"/>
    <w:rsid w:val="00182373"/>
    <w:rsid w:val="001A67DB"/>
    <w:rsid w:val="001C3C29"/>
    <w:rsid w:val="001C42E1"/>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1297"/>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C3243"/>
    <w:rsid w:val="006D7730"/>
    <w:rsid w:val="006E5284"/>
    <w:rsid w:val="006F3EB5"/>
    <w:rsid w:val="00702E34"/>
    <w:rsid w:val="00704395"/>
    <w:rsid w:val="00710FE7"/>
    <w:rsid w:val="00717621"/>
    <w:rsid w:val="00720FF1"/>
    <w:rsid w:val="00727A53"/>
    <w:rsid w:val="00741426"/>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DE3A70"/>
    <w:rsid w:val="00E00C7A"/>
    <w:rsid w:val="00E100FF"/>
    <w:rsid w:val="00E209CF"/>
    <w:rsid w:val="00E37D6C"/>
    <w:rsid w:val="00E55B68"/>
    <w:rsid w:val="00E67BE6"/>
    <w:rsid w:val="00E8683C"/>
    <w:rsid w:val="00EA2B72"/>
    <w:rsid w:val="00EE2359"/>
    <w:rsid w:val="00F264E1"/>
    <w:rsid w:val="00F74360"/>
    <w:rsid w:val="00FB462F"/>
    <w:rsid w:val="00FE16FA"/>
    <w:rsid w:val="00FE328A"/>
    <w:rsid w:val="00FE6269"/>
    <w:rsid w:val="00FF5CD6"/>
    <w:rsid w:val="058F0839"/>
    <w:rsid w:val="0B1545A1"/>
    <w:rsid w:val="0CE84457"/>
    <w:rsid w:val="0DEA6FBB"/>
    <w:rsid w:val="0EC16BC1"/>
    <w:rsid w:val="186A4083"/>
    <w:rsid w:val="206360AB"/>
    <w:rsid w:val="20A2118C"/>
    <w:rsid w:val="20FD75CA"/>
    <w:rsid w:val="25026266"/>
    <w:rsid w:val="2D787A27"/>
    <w:rsid w:val="2FD83BEC"/>
    <w:rsid w:val="378551D3"/>
    <w:rsid w:val="3F3E3276"/>
    <w:rsid w:val="4006046A"/>
    <w:rsid w:val="4100512D"/>
    <w:rsid w:val="45F521AB"/>
    <w:rsid w:val="4B923E3D"/>
    <w:rsid w:val="4CD92936"/>
    <w:rsid w:val="51AE7EF3"/>
    <w:rsid w:val="53B92A73"/>
    <w:rsid w:val="655078FA"/>
    <w:rsid w:val="70386ACD"/>
    <w:rsid w:val="736C2952"/>
    <w:rsid w:val="791D6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ind w:left="420" w:leftChars="200"/>
    </w:p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paragraph" w:styleId="9">
    <w:name w:val="annotation subject"/>
    <w:basedOn w:val="4"/>
    <w:next w:val="4"/>
    <w:link w:val="19"/>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7"/>
    <w:qFormat/>
    <w:uiPriority w:val="99"/>
    <w:rPr>
      <w:sz w:val="18"/>
      <w:szCs w:val="18"/>
    </w:rPr>
  </w:style>
  <w:style w:type="character" w:customStyle="1" w:styleId="14">
    <w:name w:val="页脚 字符"/>
    <w:basedOn w:val="11"/>
    <w:link w:val="6"/>
    <w:qFormat/>
    <w:uiPriority w:val="99"/>
    <w:rPr>
      <w:sz w:val="18"/>
      <w:szCs w:val="18"/>
    </w:rPr>
  </w:style>
  <w:style w:type="paragraph" w:customStyle="1" w:styleId="15">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1"/>
    <w:link w:val="5"/>
    <w:semiHidden/>
    <w:qFormat/>
    <w:uiPriority w:val="99"/>
    <w:rPr>
      <w:sz w:val="18"/>
      <w:szCs w:val="18"/>
    </w:rPr>
  </w:style>
  <w:style w:type="character" w:customStyle="1" w:styleId="18">
    <w:name w:val="批注文字 字符"/>
    <w:basedOn w:val="11"/>
    <w:link w:val="4"/>
    <w:semiHidden/>
    <w:qFormat/>
    <w:uiPriority w:val="99"/>
    <w:rPr>
      <w:rFonts w:asciiTheme="minorHAnsi" w:hAnsiTheme="minorHAnsi" w:eastAsiaTheme="minorEastAsia" w:cstheme="minorBidi"/>
      <w:kern w:val="2"/>
      <w:sz w:val="21"/>
      <w:szCs w:val="22"/>
    </w:rPr>
  </w:style>
  <w:style w:type="character" w:customStyle="1" w:styleId="19">
    <w:name w:val="批注主题 字符"/>
    <w:basedOn w:val="18"/>
    <w:link w:val="9"/>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1BD6F-1973-4D45-8D06-D6ED51EEC568}">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4935</Words>
  <Characters>5356</Characters>
  <Lines>39</Lines>
  <Paragraphs>11</Paragraphs>
  <TotalTime>7</TotalTime>
  <ScaleCrop>false</ScaleCrop>
  <LinksUpToDate>false</LinksUpToDate>
  <CharactersWithSpaces>5373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18673684787</cp:lastModifiedBy>
  <cp:lastPrinted>2022-09-26T03:05:00Z</cp:lastPrinted>
  <dcterms:modified xsi:type="dcterms:W3CDTF">2024-08-20T03:51:02Z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92FE9FAF743E406EBCD934A3C23A397A_13</vt:lpwstr>
  </property>
</Properties>
</file>