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3CE77"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  <w:highlight w:val="none"/>
        </w:rPr>
      </w:pPr>
      <w:bookmarkStart w:id="0" w:name="_GoBack"/>
      <w:bookmarkEnd w:id="0"/>
    </w:p>
    <w:p w14:paraId="41728122">
      <w:pPr>
        <w:pStyle w:val="7"/>
        <w:spacing w:before="120" w:beforeAutospacing="0" w:after="120" w:afterAutospacing="0" w:line="630" w:lineRule="atLeast"/>
        <w:jc w:val="center"/>
        <w:rPr>
          <w:rStyle w:val="22"/>
          <w:rFonts w:ascii="宋体" w:hAnsi="宋体"/>
          <w:color w:val="333333"/>
          <w:sz w:val="72"/>
          <w:szCs w:val="72"/>
          <w:highlight w:val="none"/>
        </w:rPr>
      </w:pPr>
      <w:r>
        <w:rPr>
          <w:rStyle w:val="22"/>
          <w:rFonts w:hint="eastAsia"/>
          <w:color w:val="333333"/>
          <w:sz w:val="72"/>
          <w:szCs w:val="72"/>
          <w:highlight w:val="none"/>
        </w:rPr>
        <w:t xml:space="preserve"> </w:t>
      </w:r>
    </w:p>
    <w:p w14:paraId="11E432E2">
      <w:pPr>
        <w:pStyle w:val="7"/>
        <w:spacing w:before="120" w:beforeAutospacing="0" w:after="120" w:afterAutospacing="0" w:line="630" w:lineRule="atLeast"/>
        <w:jc w:val="center"/>
        <w:rPr>
          <w:rStyle w:val="22"/>
          <w:rFonts w:hint="eastAsia"/>
          <w:color w:val="333333"/>
          <w:sz w:val="72"/>
          <w:szCs w:val="72"/>
          <w:highlight w:val="none"/>
        </w:rPr>
      </w:pPr>
      <w:r>
        <w:rPr>
          <w:rStyle w:val="22"/>
          <w:rFonts w:hint="eastAsia"/>
          <w:color w:val="333333"/>
          <w:sz w:val="72"/>
          <w:szCs w:val="72"/>
          <w:highlight w:val="none"/>
        </w:rPr>
        <w:t xml:space="preserve"> </w:t>
      </w:r>
    </w:p>
    <w:p w14:paraId="58B44BC4">
      <w:pPr>
        <w:pStyle w:val="7"/>
        <w:spacing w:before="120" w:beforeAutospacing="0" w:after="120" w:afterAutospacing="0" w:line="630" w:lineRule="atLeast"/>
        <w:jc w:val="center"/>
        <w:rPr>
          <w:rStyle w:val="22"/>
          <w:rFonts w:hint="eastAsia"/>
          <w:color w:val="333333"/>
          <w:sz w:val="72"/>
          <w:szCs w:val="72"/>
          <w:highlight w:val="none"/>
        </w:rPr>
      </w:pPr>
      <w:r>
        <w:rPr>
          <w:rStyle w:val="22"/>
          <w:rFonts w:hint="eastAsia"/>
          <w:color w:val="333333"/>
          <w:sz w:val="72"/>
          <w:szCs w:val="72"/>
          <w:highlight w:val="none"/>
        </w:rPr>
        <w:t xml:space="preserve"> </w:t>
      </w:r>
    </w:p>
    <w:p w14:paraId="35D0C749">
      <w:pPr>
        <w:pStyle w:val="7"/>
        <w:spacing w:before="120" w:beforeAutospacing="0" w:after="120" w:afterAutospacing="0" w:line="630" w:lineRule="atLeast"/>
        <w:jc w:val="center"/>
        <w:rPr>
          <w:rStyle w:val="22"/>
          <w:rFonts w:hint="eastAsia" w:ascii="宋体" w:hAnsi="宋体"/>
          <w:color w:val="000000"/>
          <w:sz w:val="72"/>
          <w:szCs w:val="72"/>
          <w:highlight w:val="none"/>
        </w:rPr>
      </w:pPr>
      <w:r>
        <w:rPr>
          <w:rStyle w:val="22"/>
          <w:rFonts w:hint="eastAsia" w:ascii="宋体" w:hAnsi="宋体"/>
          <w:color w:val="000000"/>
          <w:sz w:val="72"/>
          <w:szCs w:val="72"/>
          <w:highlight w:val="none"/>
        </w:rPr>
        <w:t>桃源县农村经营服务站</w:t>
      </w:r>
    </w:p>
    <w:p w14:paraId="183439D5">
      <w:pPr>
        <w:pStyle w:val="7"/>
        <w:spacing w:before="120" w:beforeAutospacing="0" w:after="120" w:afterAutospacing="0" w:line="630" w:lineRule="atLeast"/>
        <w:jc w:val="center"/>
        <w:rPr>
          <w:rStyle w:val="22"/>
          <w:rFonts w:hint="eastAsia" w:ascii="宋体" w:hAnsi="宋体"/>
          <w:color w:val="000000"/>
          <w:sz w:val="72"/>
          <w:szCs w:val="72"/>
          <w:highlight w:val="none"/>
        </w:rPr>
      </w:pPr>
      <w:r>
        <w:rPr>
          <w:rStyle w:val="22"/>
          <w:rFonts w:hint="eastAsia" w:ascii="宋体" w:hAnsi="宋体"/>
          <w:color w:val="000000"/>
          <w:sz w:val="72"/>
          <w:szCs w:val="72"/>
          <w:highlight w:val="none"/>
        </w:rPr>
        <w:t xml:space="preserve"> </w:t>
      </w:r>
    </w:p>
    <w:p w14:paraId="58B3F679">
      <w:pPr>
        <w:pStyle w:val="7"/>
        <w:spacing w:before="120" w:beforeAutospacing="0" w:after="120" w:afterAutospacing="0" w:line="630" w:lineRule="atLeast"/>
        <w:jc w:val="center"/>
        <w:rPr>
          <w:rStyle w:val="22"/>
          <w:rFonts w:hint="eastAsia" w:ascii="宋体" w:hAnsi="宋体"/>
          <w:color w:val="000000"/>
          <w:sz w:val="72"/>
          <w:szCs w:val="72"/>
          <w:highlight w:val="none"/>
        </w:rPr>
      </w:pPr>
      <w:r>
        <w:rPr>
          <w:rStyle w:val="22"/>
          <w:rFonts w:hint="eastAsia" w:ascii="宋体" w:hAnsi="宋体"/>
          <w:color w:val="000000"/>
          <w:sz w:val="72"/>
          <w:szCs w:val="72"/>
          <w:highlight w:val="none"/>
        </w:rPr>
        <w:t>2023年度部门预算</w:t>
      </w:r>
    </w:p>
    <w:p w14:paraId="52E8689A">
      <w:pPr>
        <w:widowControl/>
        <w:spacing w:line="600" w:lineRule="exact"/>
        <w:jc w:val="center"/>
        <w:rPr>
          <w:rFonts w:hint="eastAsia" w:ascii="Calibri" w:hAnsi="Calibri" w:eastAsia="楷体_GB2312"/>
          <w:kern w:val="0"/>
          <w:sz w:val="32"/>
          <w:szCs w:val="32"/>
          <w:highlight w:val="none"/>
        </w:rPr>
      </w:pPr>
      <w:r>
        <w:rPr>
          <w:rFonts w:eastAsia="楷体_GB2312"/>
          <w:bCs/>
          <w:kern w:val="0"/>
          <w:sz w:val="32"/>
          <w:szCs w:val="32"/>
          <w:highlight w:val="none"/>
        </w:rPr>
        <w:t xml:space="preserve"> </w:t>
      </w:r>
    </w:p>
    <w:p w14:paraId="1809AE3E"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  <w:highlight w:val="none"/>
        </w:rPr>
      </w:pPr>
      <w:r>
        <w:rPr>
          <w:rFonts w:eastAsia="楷体_GB2312"/>
          <w:bCs/>
          <w:kern w:val="0"/>
          <w:sz w:val="32"/>
          <w:szCs w:val="32"/>
          <w:highlight w:val="none"/>
        </w:rPr>
        <w:t xml:space="preserve"> </w:t>
      </w:r>
    </w:p>
    <w:p w14:paraId="640037B9"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  <w:highlight w:val="none"/>
        </w:rPr>
      </w:pPr>
      <w:r>
        <w:rPr>
          <w:rFonts w:eastAsia="楷体_GB2312"/>
          <w:bCs/>
          <w:kern w:val="0"/>
          <w:sz w:val="32"/>
          <w:szCs w:val="32"/>
          <w:highlight w:val="none"/>
        </w:rPr>
        <w:t xml:space="preserve"> </w:t>
      </w:r>
    </w:p>
    <w:p w14:paraId="63171A08"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  <w:highlight w:val="none"/>
        </w:rPr>
      </w:pPr>
      <w:r>
        <w:rPr>
          <w:rFonts w:eastAsia="楷体_GB2312"/>
          <w:bCs/>
          <w:kern w:val="0"/>
          <w:sz w:val="32"/>
          <w:szCs w:val="32"/>
          <w:highlight w:val="none"/>
        </w:rPr>
        <w:t xml:space="preserve"> </w:t>
      </w:r>
    </w:p>
    <w:p w14:paraId="6D168020"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  <w:highlight w:val="none"/>
        </w:rPr>
      </w:pPr>
      <w:r>
        <w:rPr>
          <w:rFonts w:eastAsia="楷体_GB2312"/>
          <w:bCs/>
          <w:kern w:val="0"/>
          <w:sz w:val="32"/>
          <w:szCs w:val="32"/>
          <w:highlight w:val="none"/>
        </w:rPr>
        <w:t xml:space="preserve"> </w:t>
      </w:r>
    </w:p>
    <w:p w14:paraId="6FC32BA2"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  <w:highlight w:val="none"/>
        </w:rPr>
      </w:pPr>
      <w:r>
        <w:rPr>
          <w:rFonts w:eastAsia="楷体_GB2312"/>
          <w:bCs/>
          <w:kern w:val="0"/>
          <w:sz w:val="32"/>
          <w:szCs w:val="32"/>
          <w:highlight w:val="none"/>
        </w:rPr>
        <w:t xml:space="preserve"> </w:t>
      </w:r>
    </w:p>
    <w:p w14:paraId="579CC70F"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  <w:highlight w:val="none"/>
        </w:rPr>
      </w:pPr>
      <w:r>
        <w:rPr>
          <w:rFonts w:eastAsia="楷体_GB2312"/>
          <w:bCs/>
          <w:kern w:val="0"/>
          <w:sz w:val="32"/>
          <w:szCs w:val="32"/>
          <w:highlight w:val="none"/>
        </w:rPr>
        <w:t xml:space="preserve"> </w:t>
      </w:r>
    </w:p>
    <w:p w14:paraId="36027BD2"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  <w:highlight w:val="none"/>
        </w:rPr>
      </w:pPr>
      <w:r>
        <w:rPr>
          <w:rFonts w:eastAsia="楷体_GB2312"/>
          <w:bCs/>
          <w:kern w:val="0"/>
          <w:sz w:val="32"/>
          <w:szCs w:val="32"/>
          <w:highlight w:val="none"/>
        </w:rPr>
        <w:t xml:space="preserve"> </w:t>
      </w:r>
    </w:p>
    <w:p w14:paraId="7AE53CAA"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  <w:highlight w:val="none"/>
        </w:rPr>
      </w:pPr>
      <w:r>
        <w:rPr>
          <w:rFonts w:eastAsia="楷体_GB2312"/>
          <w:bCs/>
          <w:kern w:val="0"/>
          <w:sz w:val="32"/>
          <w:szCs w:val="32"/>
          <w:highlight w:val="none"/>
        </w:rPr>
        <w:t xml:space="preserve"> </w:t>
      </w:r>
    </w:p>
    <w:p w14:paraId="73C0EC0D"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  <w:highlight w:val="none"/>
        </w:rPr>
      </w:pPr>
      <w:r>
        <w:rPr>
          <w:rFonts w:eastAsia="楷体_GB2312"/>
          <w:bCs/>
          <w:kern w:val="0"/>
          <w:sz w:val="32"/>
          <w:szCs w:val="32"/>
          <w:highlight w:val="none"/>
        </w:rPr>
        <w:t xml:space="preserve"> </w:t>
      </w:r>
    </w:p>
    <w:p w14:paraId="76042EDF"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  <w:highlight w:val="none"/>
        </w:rPr>
      </w:pPr>
    </w:p>
    <w:p w14:paraId="4CE8CF12"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  <w:highlight w:val="none"/>
        </w:rPr>
      </w:pPr>
    </w:p>
    <w:p w14:paraId="0534445F">
      <w:pPr>
        <w:widowControl/>
        <w:spacing w:line="600" w:lineRule="exact"/>
        <w:jc w:val="center"/>
        <w:rPr>
          <w:rFonts w:eastAsia="黑体"/>
          <w:bCs/>
          <w:kern w:val="0"/>
          <w:sz w:val="44"/>
          <w:szCs w:val="44"/>
          <w:highlight w:val="none"/>
        </w:rPr>
      </w:pPr>
      <w:r>
        <w:rPr>
          <w:rFonts w:eastAsia="黑体"/>
          <w:bCs/>
          <w:kern w:val="0"/>
          <w:sz w:val="44"/>
          <w:szCs w:val="44"/>
          <w:highlight w:val="none"/>
        </w:rPr>
        <w:t>目 录</w:t>
      </w:r>
    </w:p>
    <w:p w14:paraId="011780FE"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  <w:highlight w:val="none"/>
        </w:rPr>
      </w:pPr>
    </w:p>
    <w:p w14:paraId="50F9921D">
      <w:pPr>
        <w:widowControl/>
        <w:spacing w:line="600" w:lineRule="exact"/>
        <w:ind w:firstLine="723" w:firstLineChars="200"/>
        <w:jc w:val="center"/>
        <w:rPr>
          <w:rFonts w:eastAsia="仿宋_GB2312"/>
          <w:b/>
          <w:bCs/>
          <w:kern w:val="0"/>
          <w:sz w:val="36"/>
          <w:szCs w:val="36"/>
          <w:highlight w:val="none"/>
        </w:rPr>
      </w:pPr>
      <w:r>
        <w:rPr>
          <w:rFonts w:eastAsia="仿宋_GB2312"/>
          <w:b/>
          <w:bCs/>
          <w:kern w:val="0"/>
          <w:sz w:val="36"/>
          <w:szCs w:val="36"/>
          <w:highlight w:val="none"/>
        </w:rPr>
        <w:t>第一部分</w:t>
      </w:r>
      <w:r>
        <w:rPr>
          <w:rFonts w:hint="eastAsia" w:eastAsia="仿宋_GB2312"/>
          <w:b/>
          <w:bCs/>
          <w:kern w:val="0"/>
          <w:sz w:val="36"/>
          <w:szCs w:val="36"/>
          <w:highlight w:val="none"/>
        </w:rPr>
        <w:t xml:space="preserve">  </w:t>
      </w:r>
      <w:r>
        <w:rPr>
          <w:rFonts w:hint="eastAsia" w:eastAsia="方正小标宋_GBK"/>
          <w:b/>
          <w:bCs/>
          <w:kern w:val="0"/>
          <w:sz w:val="36"/>
          <w:szCs w:val="36"/>
          <w:highlight w:val="none"/>
        </w:rPr>
        <w:t>2023</w:t>
      </w:r>
      <w:r>
        <w:rPr>
          <w:rFonts w:eastAsia="仿宋_GB2312"/>
          <w:b/>
          <w:bCs/>
          <w:kern w:val="0"/>
          <w:sz w:val="36"/>
          <w:szCs w:val="36"/>
          <w:highlight w:val="none"/>
        </w:rPr>
        <w:t>年部门预算说明</w:t>
      </w:r>
    </w:p>
    <w:p w14:paraId="3C4CB782">
      <w:pPr>
        <w:widowControl/>
        <w:numPr>
          <w:ilvl w:val="0"/>
          <w:numId w:val="1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部门基本概况</w:t>
      </w:r>
    </w:p>
    <w:p w14:paraId="233D17B7">
      <w:pPr>
        <w:widowControl/>
        <w:numPr>
          <w:ilvl w:val="0"/>
          <w:numId w:val="1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部门预算单位构成</w:t>
      </w:r>
    </w:p>
    <w:p w14:paraId="214B9FE7">
      <w:pPr>
        <w:widowControl/>
        <w:numPr>
          <w:ilvl w:val="0"/>
          <w:numId w:val="1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部门收支总体情况</w:t>
      </w:r>
    </w:p>
    <w:p w14:paraId="75F49BD2">
      <w:pPr>
        <w:widowControl/>
        <w:numPr>
          <w:ilvl w:val="0"/>
          <w:numId w:val="1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一般公共预算拨款支出</w:t>
      </w:r>
    </w:p>
    <w:p w14:paraId="47537546">
      <w:pPr>
        <w:widowControl/>
        <w:numPr>
          <w:ilvl w:val="0"/>
          <w:numId w:val="1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政府性基金预算支出</w:t>
      </w:r>
    </w:p>
    <w:p w14:paraId="6CD3E7B0">
      <w:pPr>
        <w:widowControl/>
        <w:numPr>
          <w:ilvl w:val="0"/>
          <w:numId w:val="1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其他重要事项的情况说明</w:t>
      </w:r>
    </w:p>
    <w:p w14:paraId="2CF539AF">
      <w:pPr>
        <w:widowControl/>
        <w:numPr>
          <w:ilvl w:val="0"/>
          <w:numId w:val="1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名词解释</w:t>
      </w:r>
    </w:p>
    <w:p w14:paraId="659D5F68">
      <w:pPr>
        <w:widowControl/>
        <w:spacing w:line="600" w:lineRule="exact"/>
        <w:ind w:firstLine="723" w:firstLineChars="200"/>
        <w:jc w:val="center"/>
        <w:rPr>
          <w:rFonts w:eastAsia="仿宋_GB2312"/>
          <w:b/>
          <w:bCs/>
          <w:kern w:val="0"/>
          <w:sz w:val="36"/>
          <w:szCs w:val="36"/>
          <w:highlight w:val="none"/>
        </w:rPr>
      </w:pPr>
      <w:r>
        <w:rPr>
          <w:rFonts w:eastAsia="仿宋_GB2312"/>
          <w:b/>
          <w:bCs/>
          <w:kern w:val="0"/>
          <w:sz w:val="36"/>
          <w:szCs w:val="36"/>
          <w:highlight w:val="none"/>
        </w:rPr>
        <w:t>第二部分</w:t>
      </w:r>
      <w:r>
        <w:rPr>
          <w:rFonts w:hint="eastAsia" w:eastAsia="仿宋_GB2312"/>
          <w:b/>
          <w:bCs/>
          <w:kern w:val="0"/>
          <w:sz w:val="36"/>
          <w:szCs w:val="36"/>
          <w:highlight w:val="none"/>
        </w:rPr>
        <w:t>2023</w:t>
      </w:r>
      <w:r>
        <w:rPr>
          <w:rFonts w:eastAsia="仿宋_GB2312"/>
          <w:b/>
          <w:bCs/>
          <w:kern w:val="0"/>
          <w:sz w:val="36"/>
          <w:szCs w:val="36"/>
          <w:highlight w:val="none"/>
        </w:rPr>
        <w:t>年部门预算表</w:t>
      </w:r>
    </w:p>
    <w:p w14:paraId="066C0B29">
      <w:pPr>
        <w:widowControl/>
        <w:spacing w:line="600" w:lineRule="exact"/>
        <w:ind w:firstLine="643" w:firstLineChars="200"/>
        <w:jc w:val="left"/>
        <w:rPr>
          <w:rFonts w:hint="eastAsia" w:eastAsia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eastAsia="仿宋_GB2312"/>
          <w:b/>
          <w:bCs/>
          <w:kern w:val="0"/>
          <w:sz w:val="32"/>
          <w:szCs w:val="32"/>
          <w:highlight w:val="none"/>
        </w:rPr>
        <w:t>一、部门预算报表</w:t>
      </w:r>
    </w:p>
    <w:p w14:paraId="7408FA24"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1、收支总表</w:t>
      </w:r>
    </w:p>
    <w:p w14:paraId="2BAA3152"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2、收入总表</w:t>
      </w:r>
    </w:p>
    <w:p w14:paraId="6DB7E40D"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3、支出总表</w:t>
      </w:r>
    </w:p>
    <w:p w14:paraId="19EC214B"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4、财政拨款收支总表</w:t>
      </w:r>
    </w:p>
    <w:p w14:paraId="08E3BEBA"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5、一般公共预算支出表</w:t>
      </w:r>
    </w:p>
    <w:p w14:paraId="6008CF21"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6、一般公共预算基本支出表</w:t>
      </w:r>
    </w:p>
    <w:p w14:paraId="6B7ED2B6"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7、一般公共预算“三公”经费支出表</w:t>
      </w:r>
    </w:p>
    <w:p w14:paraId="6612C578"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8、政府性基金预算支出表</w:t>
      </w:r>
    </w:p>
    <w:p w14:paraId="3AC672B1"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9、支出预算分类汇总表（按政府预算经济分类）</w:t>
      </w:r>
    </w:p>
    <w:p w14:paraId="1332FE01"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10、支出预算分类汇总表（按部门预算经济分类）</w:t>
      </w:r>
    </w:p>
    <w:p w14:paraId="071B0CE2"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11、一般公共预算基本支出表--人员经费(工资福利支出)(按政府预算经济分类)</w:t>
      </w:r>
    </w:p>
    <w:p w14:paraId="492871E8"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12、一般公共预算基本支出表--人员经费(工资福利支出)(按部门预算经济分类)</w:t>
      </w:r>
    </w:p>
    <w:p w14:paraId="04294580"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13、一般公共预算基本支出表--人员经费(对个人和家庭的补助)(按政府预算经济分类)</w:t>
      </w:r>
    </w:p>
    <w:p w14:paraId="14C7D9FB"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14、一般公共预算基本支出表--人员经费(对个人和家庭的补助)（按部门预算经济分类）</w:t>
      </w:r>
    </w:p>
    <w:p w14:paraId="7871ADD0"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15、一般公共预算基本支出表--公用经费(商品和服务支出)（按政府预算经济分类）</w:t>
      </w:r>
    </w:p>
    <w:p w14:paraId="52B1C71D"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16、一般公共预算基本支出表--公用经费(商品和服务支出)(按部门预算经济分类)</w:t>
      </w:r>
    </w:p>
    <w:p w14:paraId="25691271"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17、政府性基金预算支出分类汇总表（按政府预算经济分类）</w:t>
      </w:r>
    </w:p>
    <w:p w14:paraId="00161A92"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18、政府性基金预算支出分类汇总表（按部门预算经济分类）</w:t>
      </w:r>
    </w:p>
    <w:p w14:paraId="6FE123E7"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19、国有资本经营预算表</w:t>
      </w:r>
    </w:p>
    <w:p w14:paraId="34737D22"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20、财政专户管理资金预算支出表</w:t>
      </w:r>
    </w:p>
    <w:p w14:paraId="2B81CC50"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21、专项资金预算汇总表</w:t>
      </w:r>
    </w:p>
    <w:p w14:paraId="60D0A92E"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22、单位新增资产汇总表</w:t>
      </w:r>
    </w:p>
    <w:p w14:paraId="5C57530F"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23、政府采购预算表</w:t>
      </w:r>
    </w:p>
    <w:p w14:paraId="6C17ECD4"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24、政府购买服务支出预算表</w:t>
      </w:r>
    </w:p>
    <w:p w14:paraId="0FB2A80E"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25、单位资产及设备情况表</w:t>
      </w:r>
    </w:p>
    <w:p w14:paraId="6932DBD0"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26、单位人员信息情况表</w:t>
      </w:r>
    </w:p>
    <w:p w14:paraId="682BC2E8"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27、其他项目支出绩效目标表</w:t>
      </w:r>
    </w:p>
    <w:p w14:paraId="799B8604">
      <w:pPr>
        <w:widowControl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28、部门整体支出绩效目标表</w:t>
      </w:r>
    </w:p>
    <w:p w14:paraId="58FC332C">
      <w:pPr>
        <w:widowControl/>
        <w:spacing w:line="600" w:lineRule="exact"/>
        <w:ind w:firstLine="640" w:firstLineChars="200"/>
        <w:rPr>
          <w:rFonts w:hint="eastAsia" w:eastAsia="仿宋_GB2312"/>
          <w:bCs/>
          <w:kern w:val="0"/>
          <w:sz w:val="32"/>
          <w:szCs w:val="32"/>
          <w:highlight w:val="none"/>
        </w:rPr>
      </w:pPr>
    </w:p>
    <w:p w14:paraId="64100C55"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  <w:highlight w:val="none"/>
        </w:rPr>
      </w:pPr>
      <w:r>
        <w:rPr>
          <w:rFonts w:eastAsia="仿宋_GB2312"/>
          <w:bCs/>
          <w:kern w:val="0"/>
          <w:sz w:val="32"/>
          <w:szCs w:val="32"/>
          <w:highlight w:val="none"/>
        </w:rPr>
        <w:t>注：以上部门预算报表中，空表表示本部门无相关收支情况。</w:t>
      </w:r>
    </w:p>
    <w:p w14:paraId="0FD9A913">
      <w:pPr>
        <w:widowControl/>
        <w:spacing w:line="600" w:lineRule="exact"/>
        <w:ind w:firstLine="640" w:firstLineChars="200"/>
        <w:rPr>
          <w:rFonts w:hint="eastAsia" w:eastAsia="仿宋_GB2312"/>
          <w:bCs/>
          <w:kern w:val="0"/>
          <w:sz w:val="32"/>
          <w:szCs w:val="32"/>
          <w:highlight w:val="none"/>
        </w:rPr>
      </w:pPr>
    </w:p>
    <w:p w14:paraId="1CCB3FB8"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  <w:highlight w:val="none"/>
        </w:rPr>
      </w:pPr>
      <w:r>
        <w:rPr>
          <w:rFonts w:eastAsia="方正小标宋_GBK"/>
          <w:bCs/>
          <w:kern w:val="0"/>
          <w:sz w:val="36"/>
          <w:szCs w:val="36"/>
          <w:highlight w:val="none"/>
        </w:rPr>
        <w:br w:type="page"/>
      </w:r>
    </w:p>
    <w:p w14:paraId="4613789B"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  <w:highlight w:val="none"/>
        </w:rPr>
      </w:pPr>
      <w:r>
        <w:rPr>
          <w:rFonts w:eastAsia="方正小标宋_GBK"/>
          <w:bCs/>
          <w:kern w:val="0"/>
          <w:sz w:val="36"/>
          <w:szCs w:val="36"/>
          <w:highlight w:val="none"/>
        </w:rPr>
        <w:t>第一部分 部门预算说明</w:t>
      </w:r>
    </w:p>
    <w:p w14:paraId="2D98CEBA"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  <w:highlight w:val="none"/>
        </w:rPr>
      </w:pPr>
    </w:p>
    <w:p w14:paraId="1F2E1EBE"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  <w:highlight w:val="none"/>
        </w:rPr>
      </w:pPr>
      <w:r>
        <w:rPr>
          <w:rFonts w:eastAsia="黑体"/>
          <w:bCs/>
          <w:kern w:val="0"/>
          <w:sz w:val="32"/>
          <w:szCs w:val="32"/>
          <w:highlight w:val="none"/>
        </w:rPr>
        <w:t>一、部门基本概况</w:t>
      </w:r>
    </w:p>
    <w:p w14:paraId="4D244C10">
      <w:pPr>
        <w:widowControl/>
        <w:spacing w:line="600" w:lineRule="exact"/>
        <w:ind w:firstLine="630" w:firstLineChars="196"/>
        <w:jc w:val="left"/>
        <w:rPr>
          <w:rFonts w:eastAsia="楷体_GB2312"/>
          <w:b/>
          <w:sz w:val="32"/>
          <w:szCs w:val="32"/>
          <w:highlight w:val="none"/>
        </w:rPr>
      </w:pPr>
      <w:r>
        <w:rPr>
          <w:rFonts w:eastAsia="楷体_GB2312"/>
          <w:b/>
          <w:sz w:val="32"/>
          <w:szCs w:val="32"/>
          <w:highlight w:val="none"/>
        </w:rPr>
        <w:t>（一）职能职责</w:t>
      </w:r>
    </w:p>
    <w:p w14:paraId="664685F1">
      <w:pPr>
        <w:widowControl/>
        <w:spacing w:line="600" w:lineRule="exact"/>
        <w:ind w:firstLine="627" w:firstLineChars="196"/>
        <w:jc w:val="left"/>
        <w:rPr>
          <w:rFonts w:eastAsia="楷体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</w:rPr>
        <w:t>桃源县农村经营服务站主要负责全县农民权益维护和负担监督管理、农村承包地管理及纠纷调解仲裁、新型农村经营主体培育、农村土地 “三权分置”改革、农村集体产权制度改革、村级集体经济发展、村级财务审计、农村宅基地管理与改革、农村产权交易等工作。</w:t>
      </w:r>
    </w:p>
    <w:p w14:paraId="2BB8AEF0">
      <w:pPr>
        <w:widowControl/>
        <w:numPr>
          <w:ilvl w:val="0"/>
          <w:numId w:val="2"/>
        </w:numPr>
        <w:spacing w:line="600" w:lineRule="exact"/>
        <w:ind w:firstLine="630" w:firstLineChars="196"/>
        <w:jc w:val="left"/>
        <w:rPr>
          <w:rFonts w:eastAsia="楷体_GB2312"/>
          <w:b/>
          <w:sz w:val="32"/>
          <w:szCs w:val="32"/>
          <w:highlight w:val="none"/>
        </w:rPr>
      </w:pPr>
      <w:r>
        <w:rPr>
          <w:rFonts w:eastAsia="楷体_GB2312"/>
          <w:b/>
          <w:sz w:val="32"/>
          <w:szCs w:val="32"/>
          <w:highlight w:val="none"/>
        </w:rPr>
        <w:t>机构设置</w:t>
      </w:r>
    </w:p>
    <w:p w14:paraId="3B628F82"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eastAsia="楷体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</w:rPr>
        <w:t>根据县编委会核定，桃源县农村经营服务站内设部室8个，全部纳入2023年部门预算编制范围。无所属事业单位。内设部室分别是：办公室、计划财务部、农民权益维权服务部、新型经营主体培育部、村级财务指导部、农村土地承包服务部、农村宅基地改革指导部、农村产权交易服务部。县农村经营服务站核定事业编制19名，其中：站长1名，副站长3名，纪检员1名；内设机构正股级职数8名，副股级职数1名，其他工作人员5名。目前我单位在编在岗人员18名。退休干部7人、企业退休再就业援助人员１人，遗属3人。</w:t>
      </w:r>
    </w:p>
    <w:p w14:paraId="7C80F090">
      <w:pPr>
        <w:widowControl/>
        <w:spacing w:line="600" w:lineRule="exact"/>
        <w:ind w:firstLine="627" w:firstLineChars="196"/>
        <w:jc w:val="left"/>
        <w:rPr>
          <w:rFonts w:hint="eastAsia" w:eastAsia="黑体"/>
          <w:kern w:val="0"/>
          <w:sz w:val="32"/>
          <w:szCs w:val="32"/>
          <w:highlight w:val="none"/>
        </w:rPr>
      </w:pPr>
      <w:r>
        <w:rPr>
          <w:rFonts w:eastAsia="黑体"/>
          <w:kern w:val="0"/>
          <w:sz w:val="32"/>
          <w:szCs w:val="32"/>
          <w:highlight w:val="none"/>
        </w:rPr>
        <w:t>二、部门预算单位构成</w:t>
      </w:r>
    </w:p>
    <w:p w14:paraId="64727132">
      <w:pPr>
        <w:widowControl/>
        <w:spacing w:line="600" w:lineRule="exact"/>
        <w:ind w:firstLine="627" w:firstLineChars="196"/>
        <w:rPr>
          <w:rFonts w:ascii="仿宋_GB2312" w:eastAsia="仿宋_GB2312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</w:rPr>
        <w:t>本</w:t>
      </w:r>
      <w:r>
        <w:rPr>
          <w:rFonts w:ascii="仿宋_GB2312" w:eastAsia="仿宋_GB2312"/>
          <w:bCs/>
          <w:sz w:val="32"/>
          <w:szCs w:val="32"/>
          <w:highlight w:val="none"/>
        </w:rPr>
        <w:t>部门只有本级，没有其他预算单位，因此本部门预算仅含本级预算。</w:t>
      </w:r>
    </w:p>
    <w:p w14:paraId="29025E41"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  <w:highlight w:val="none"/>
        </w:rPr>
      </w:pPr>
      <w:r>
        <w:rPr>
          <w:rFonts w:eastAsia="黑体"/>
          <w:bCs/>
          <w:kern w:val="0"/>
          <w:sz w:val="32"/>
          <w:szCs w:val="32"/>
          <w:highlight w:val="none"/>
        </w:rPr>
        <w:t>三、部门收支总体情况</w:t>
      </w:r>
    </w:p>
    <w:p w14:paraId="5D7AAED1">
      <w:pPr>
        <w:widowControl/>
        <w:spacing w:line="600" w:lineRule="exact"/>
        <w:ind w:firstLine="630" w:firstLineChars="196"/>
        <w:rPr>
          <w:rFonts w:ascii="仿宋_GB2312" w:eastAsia="仿宋_GB2312"/>
          <w:bCs/>
          <w:sz w:val="32"/>
          <w:szCs w:val="32"/>
          <w:highlight w:val="none"/>
        </w:rPr>
      </w:pPr>
      <w:r>
        <w:rPr>
          <w:rFonts w:eastAsia="楷体_GB2312"/>
          <w:b/>
          <w:sz w:val="32"/>
          <w:szCs w:val="32"/>
          <w:highlight w:val="none"/>
        </w:rPr>
        <w:t>（一）收入预算：</w:t>
      </w:r>
      <w:r>
        <w:rPr>
          <w:rFonts w:ascii="仿宋_GB2312" w:eastAsia="仿宋_GB2312"/>
          <w:bCs/>
          <w:sz w:val="32"/>
          <w:szCs w:val="32"/>
          <w:highlight w:val="none"/>
        </w:rPr>
        <w:t>包括一般公共预算、政府性基金、国有资本经营预算等财政拨款收入，以及经营收入、事业收入等单位资金。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2023</w:t>
      </w:r>
      <w:r>
        <w:rPr>
          <w:rFonts w:ascii="仿宋_GB2312" w:eastAsia="仿宋_GB2312"/>
          <w:bCs/>
          <w:sz w:val="32"/>
          <w:szCs w:val="32"/>
          <w:highlight w:val="none"/>
        </w:rPr>
        <w:t>年本部门收入预算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总计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286.04</w:t>
      </w:r>
      <w:r>
        <w:rPr>
          <w:rFonts w:ascii="仿宋_GB2312" w:eastAsia="仿宋_GB2312"/>
          <w:bCs/>
          <w:sz w:val="32"/>
          <w:szCs w:val="32"/>
          <w:highlight w:val="none"/>
        </w:rPr>
        <w:t>万元，其中，一般公共预算拨款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286.04</w:t>
      </w:r>
      <w:r>
        <w:rPr>
          <w:rFonts w:ascii="仿宋_GB2312" w:eastAsia="仿宋_GB2312"/>
          <w:bCs/>
          <w:sz w:val="32"/>
          <w:szCs w:val="32"/>
          <w:highlight w:val="none"/>
        </w:rPr>
        <w:t>万元，政府性基金预算拨款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万元，国有资本经营预算拨款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万元，纳入专户管理的非税收入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万元。收入较去年减少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42.08</w:t>
      </w:r>
      <w:r>
        <w:rPr>
          <w:rFonts w:ascii="仿宋_GB2312" w:eastAsia="仿宋_GB2312"/>
          <w:bCs/>
          <w:sz w:val="32"/>
          <w:szCs w:val="32"/>
          <w:highlight w:val="none"/>
        </w:rPr>
        <w:t>万元，主要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原因</w:t>
      </w:r>
      <w:r>
        <w:rPr>
          <w:rFonts w:ascii="仿宋_GB2312" w:eastAsia="仿宋_GB2312"/>
          <w:bCs/>
          <w:sz w:val="32"/>
          <w:szCs w:val="32"/>
          <w:highlight w:val="none"/>
        </w:rPr>
        <w:t>是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预算收入减少</w:t>
      </w:r>
      <w:r>
        <w:rPr>
          <w:rFonts w:ascii="仿宋_GB2312" w:eastAsia="仿宋_GB2312"/>
          <w:bCs/>
          <w:sz w:val="32"/>
          <w:szCs w:val="32"/>
          <w:highlight w:val="none"/>
        </w:rPr>
        <w:t>。</w:t>
      </w:r>
    </w:p>
    <w:p w14:paraId="46D83DBF">
      <w:pPr>
        <w:widowControl/>
        <w:spacing w:line="600" w:lineRule="exact"/>
        <w:ind w:firstLine="630" w:firstLineChars="196"/>
        <w:jc w:val="left"/>
        <w:rPr>
          <w:rFonts w:ascii="仿宋_GB2312" w:eastAsia="仿宋_GB2312"/>
          <w:bCs/>
          <w:sz w:val="32"/>
          <w:szCs w:val="32"/>
          <w:highlight w:val="none"/>
        </w:rPr>
      </w:pPr>
      <w:r>
        <w:rPr>
          <w:rFonts w:eastAsia="楷体_GB2312"/>
          <w:b/>
          <w:sz w:val="32"/>
          <w:szCs w:val="32"/>
          <w:highlight w:val="none"/>
        </w:rPr>
        <w:t>（二）支出预算：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2023</w:t>
      </w:r>
      <w:r>
        <w:rPr>
          <w:rFonts w:ascii="仿宋_GB2312" w:eastAsia="仿宋_GB2312"/>
          <w:bCs/>
          <w:sz w:val="32"/>
          <w:szCs w:val="32"/>
          <w:highlight w:val="none"/>
        </w:rPr>
        <w:t>年本部门支出预算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总计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286.04</w:t>
      </w:r>
      <w:r>
        <w:rPr>
          <w:rFonts w:ascii="仿宋_GB2312" w:eastAsia="仿宋_GB2312"/>
          <w:bCs/>
          <w:sz w:val="32"/>
          <w:szCs w:val="32"/>
          <w:highlight w:val="none"/>
        </w:rPr>
        <w:t>万元，其中，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社会保障和就业支出21.7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卫生健康支出9.51</w:t>
      </w:r>
      <w:r>
        <w:rPr>
          <w:rFonts w:ascii="仿宋_GB2312" w:eastAsia="仿宋_GB2312"/>
          <w:bCs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农林水支出237.27</w:t>
      </w:r>
      <w:r>
        <w:rPr>
          <w:rFonts w:ascii="仿宋_GB2312" w:eastAsia="仿宋_GB2312"/>
          <w:bCs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住房保障支出17.57</w:t>
      </w:r>
      <w:r>
        <w:rPr>
          <w:rFonts w:ascii="仿宋_GB2312" w:eastAsia="仿宋_GB2312"/>
          <w:bCs/>
          <w:sz w:val="32"/>
          <w:szCs w:val="32"/>
          <w:highlight w:val="none"/>
        </w:rPr>
        <w:t>万元。支出较去年减少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42.08</w:t>
      </w:r>
      <w:r>
        <w:rPr>
          <w:rFonts w:ascii="仿宋_GB2312" w:eastAsia="仿宋_GB2312"/>
          <w:bCs/>
          <w:sz w:val="32"/>
          <w:szCs w:val="32"/>
          <w:highlight w:val="none"/>
        </w:rPr>
        <w:t>万元，主要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原因</w:t>
      </w:r>
      <w:r>
        <w:rPr>
          <w:rFonts w:ascii="仿宋_GB2312" w:eastAsia="仿宋_GB2312"/>
          <w:bCs/>
          <w:sz w:val="32"/>
          <w:szCs w:val="32"/>
          <w:highlight w:val="none"/>
        </w:rPr>
        <w:t>是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农林水支出等较去年有所</w:t>
      </w:r>
      <w:r>
        <w:rPr>
          <w:rFonts w:ascii="仿宋_GB2312" w:eastAsia="仿宋_GB2312"/>
          <w:bCs/>
          <w:sz w:val="32"/>
          <w:szCs w:val="32"/>
          <w:highlight w:val="none"/>
        </w:rPr>
        <w:t>减少。</w:t>
      </w:r>
    </w:p>
    <w:p w14:paraId="7A64AC12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四、一般公共预算拨款支出</w:t>
      </w:r>
    </w:p>
    <w:p w14:paraId="7D46F38A">
      <w:pPr>
        <w:widowControl/>
        <w:spacing w:line="600" w:lineRule="exact"/>
        <w:ind w:firstLine="660"/>
        <w:jc w:val="left"/>
        <w:rPr>
          <w:rFonts w:ascii="仿宋_GB2312" w:eastAsia="仿宋_GB2312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</w:rPr>
        <w:t>2023</w:t>
      </w:r>
      <w:r>
        <w:rPr>
          <w:rFonts w:ascii="仿宋_GB2312" w:eastAsia="仿宋_GB2312"/>
          <w:bCs/>
          <w:sz w:val="32"/>
          <w:szCs w:val="32"/>
          <w:highlight w:val="none"/>
        </w:rPr>
        <w:t>年本部门一般公共预算拨款支出预算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286.04</w:t>
      </w:r>
      <w:r>
        <w:rPr>
          <w:rFonts w:ascii="仿宋_GB2312" w:eastAsia="仿宋_GB2312"/>
          <w:bCs/>
          <w:sz w:val="32"/>
          <w:szCs w:val="32"/>
          <w:highlight w:val="none"/>
        </w:rPr>
        <w:t>万元，其中，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社会保障和就业支出21.7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万元，占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7.59</w:t>
      </w:r>
      <w:r>
        <w:rPr>
          <w:rFonts w:ascii="仿宋_GB2312" w:eastAsia="仿宋_GB2312"/>
          <w:bCs/>
          <w:sz w:val="32"/>
          <w:szCs w:val="32"/>
          <w:highlight w:val="none"/>
        </w:rPr>
        <w:t xml:space="preserve"> %；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卫生健康支</w:t>
      </w:r>
      <w:r>
        <w:rPr>
          <w:rFonts w:hint="eastAsia" w:ascii="仿宋_GB2312" w:eastAsia="仿宋_GB2312"/>
          <w:bCs/>
          <w:sz w:val="32"/>
          <w:szCs w:val="32"/>
          <w:highlight w:val="none"/>
          <w:u w:val="none"/>
        </w:rPr>
        <w:t>出9.51</w:t>
      </w:r>
      <w:r>
        <w:rPr>
          <w:rFonts w:ascii="仿宋_GB2312" w:eastAsia="仿宋_GB2312"/>
          <w:bCs/>
          <w:sz w:val="32"/>
          <w:szCs w:val="32"/>
          <w:highlight w:val="none"/>
          <w:u w:val="none"/>
        </w:rPr>
        <w:t>万元，占</w:t>
      </w:r>
      <w:r>
        <w:rPr>
          <w:rFonts w:hint="eastAsia" w:ascii="仿宋_GB2312" w:eastAsia="仿宋_GB2312"/>
          <w:bCs/>
          <w:sz w:val="32"/>
          <w:szCs w:val="32"/>
          <w:highlight w:val="none"/>
          <w:u w:val="none"/>
        </w:rPr>
        <w:t>3.32</w:t>
      </w:r>
      <w:r>
        <w:rPr>
          <w:rFonts w:ascii="仿宋_GB2312" w:eastAsia="仿宋_GB2312"/>
          <w:bCs/>
          <w:sz w:val="32"/>
          <w:szCs w:val="32"/>
          <w:highlight w:val="none"/>
          <w:u w:val="none"/>
        </w:rPr>
        <w:t xml:space="preserve"> %；</w:t>
      </w:r>
      <w:r>
        <w:rPr>
          <w:rFonts w:hint="eastAsia" w:ascii="仿宋_GB2312" w:eastAsia="仿宋_GB2312"/>
          <w:bCs/>
          <w:sz w:val="32"/>
          <w:szCs w:val="32"/>
          <w:highlight w:val="none"/>
          <w:u w:val="none"/>
        </w:rPr>
        <w:t>农林水支出237.27</w:t>
      </w:r>
      <w:r>
        <w:rPr>
          <w:rFonts w:ascii="仿宋_GB2312" w:eastAsia="仿宋_GB2312"/>
          <w:bCs/>
          <w:sz w:val="32"/>
          <w:szCs w:val="32"/>
          <w:highlight w:val="none"/>
          <w:u w:val="none"/>
        </w:rPr>
        <w:t>万元，占</w:t>
      </w:r>
      <w:r>
        <w:rPr>
          <w:rFonts w:hint="eastAsia" w:ascii="仿宋_GB2312" w:eastAsia="仿宋_GB2312"/>
          <w:bCs/>
          <w:sz w:val="32"/>
          <w:szCs w:val="32"/>
          <w:highlight w:val="none"/>
          <w:u w:val="none"/>
        </w:rPr>
        <w:t>82.95</w:t>
      </w:r>
      <w:r>
        <w:rPr>
          <w:rFonts w:ascii="仿宋_GB2312" w:eastAsia="仿宋_GB2312"/>
          <w:bCs/>
          <w:sz w:val="32"/>
          <w:szCs w:val="32"/>
          <w:highlight w:val="none"/>
          <w:u w:val="none"/>
        </w:rPr>
        <w:t>%</w:t>
      </w:r>
      <w:r>
        <w:rPr>
          <w:rFonts w:hint="eastAsia" w:ascii="仿宋_GB2312" w:eastAsia="仿宋_GB2312"/>
          <w:bCs/>
          <w:sz w:val="32"/>
          <w:szCs w:val="32"/>
          <w:highlight w:val="none"/>
          <w:u w:val="none"/>
        </w:rPr>
        <w:t>；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住房保障支出17.57</w:t>
      </w:r>
      <w:r>
        <w:rPr>
          <w:rFonts w:ascii="仿宋_GB2312" w:eastAsia="仿宋_GB2312"/>
          <w:bCs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，</w:t>
      </w:r>
      <w:r>
        <w:rPr>
          <w:rFonts w:ascii="仿宋_GB2312" w:eastAsia="仿宋_GB2312"/>
          <w:bCs/>
          <w:sz w:val="32"/>
          <w:szCs w:val="32"/>
          <w:highlight w:val="none"/>
        </w:rPr>
        <w:t>占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6.14</w:t>
      </w:r>
      <w:r>
        <w:rPr>
          <w:rFonts w:ascii="仿宋_GB2312" w:eastAsia="仿宋_GB2312"/>
          <w:bCs/>
          <w:sz w:val="32"/>
          <w:szCs w:val="32"/>
          <w:highlight w:val="none"/>
        </w:rPr>
        <w:t>%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。</w:t>
      </w:r>
      <w:r>
        <w:rPr>
          <w:rFonts w:ascii="仿宋_GB2312" w:eastAsia="仿宋_GB2312"/>
          <w:bCs/>
          <w:sz w:val="32"/>
          <w:szCs w:val="32"/>
          <w:highlight w:val="none"/>
        </w:rPr>
        <w:t>具体安排情况如下：</w:t>
      </w:r>
    </w:p>
    <w:p w14:paraId="1DB1DB97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  <w:highlight w:val="none"/>
        </w:rPr>
      </w:pPr>
      <w:r>
        <w:rPr>
          <w:rFonts w:eastAsia="楷体_GB2312"/>
          <w:b/>
          <w:sz w:val="32"/>
          <w:szCs w:val="32"/>
          <w:highlight w:val="none"/>
        </w:rPr>
        <w:t>（一）基本支出：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2023</w:t>
      </w:r>
      <w:r>
        <w:rPr>
          <w:rFonts w:ascii="仿宋_GB2312" w:eastAsia="仿宋_GB2312"/>
          <w:bCs/>
          <w:sz w:val="32"/>
          <w:szCs w:val="32"/>
          <w:highlight w:val="none"/>
        </w:rPr>
        <w:t>年本部门基本支出预算数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231.04</w:t>
      </w:r>
      <w:r>
        <w:rPr>
          <w:rFonts w:ascii="仿宋_GB2312" w:eastAsia="仿宋_GB2312"/>
          <w:bCs/>
          <w:sz w:val="32"/>
          <w:szCs w:val="32"/>
          <w:highlight w:val="none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 w14:paraId="60B9918F">
      <w:pPr>
        <w:widowControl/>
        <w:spacing w:line="600" w:lineRule="exact"/>
        <w:ind w:firstLine="660"/>
        <w:jc w:val="left"/>
        <w:rPr>
          <w:rFonts w:ascii="仿宋_GB2312" w:eastAsia="仿宋_GB2312"/>
          <w:bCs/>
          <w:sz w:val="32"/>
          <w:szCs w:val="32"/>
          <w:highlight w:val="none"/>
        </w:rPr>
      </w:pPr>
      <w:r>
        <w:rPr>
          <w:rFonts w:eastAsia="楷体_GB2312"/>
          <w:b/>
          <w:sz w:val="32"/>
          <w:szCs w:val="32"/>
          <w:highlight w:val="none"/>
        </w:rPr>
        <w:t>（二）项目支出：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2023</w:t>
      </w:r>
      <w:r>
        <w:rPr>
          <w:rFonts w:ascii="仿宋_GB2312" w:eastAsia="仿宋_GB2312"/>
          <w:bCs/>
          <w:sz w:val="32"/>
          <w:szCs w:val="32"/>
          <w:highlight w:val="none"/>
        </w:rPr>
        <w:t>年本部门项目支出预算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55</w:t>
      </w:r>
      <w:r>
        <w:rPr>
          <w:rFonts w:ascii="仿宋_GB2312" w:eastAsia="仿宋_GB2312"/>
          <w:bCs/>
          <w:sz w:val="32"/>
          <w:szCs w:val="32"/>
          <w:highlight w:val="none"/>
        </w:rPr>
        <w:t>万元，主要是部门为完成特定行政工作任务或事业发展目标而发生的支出，包括有关事业发展专项、专项业务费、基本建设支出等，其中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：农村土地承包经营纠纷仲裁工作支出10万元，主要用于农村土地承包经营纠纷调解及仲裁工作等方面；农村宅基地审批管理及纠纷调处工作支出20万元，主要用于农村村民建房管理改革和现场执法等方面；农民权益维护和负担监督协调工作支出20万元，主要用于农民权益维护和负担监督协调等方面；农村集体经济发展支出5万元，主要用于农村土农村集体经济发展、村社分账、产权制度改革等方面。</w:t>
      </w:r>
    </w:p>
    <w:p w14:paraId="7C978933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五、政府性基金预算支出</w:t>
      </w:r>
    </w:p>
    <w:p w14:paraId="657D4B11">
      <w:pPr>
        <w:widowControl/>
        <w:spacing w:line="600" w:lineRule="exact"/>
        <w:ind w:firstLine="660"/>
        <w:jc w:val="left"/>
        <w:rPr>
          <w:rFonts w:ascii="仿宋_GB2312" w:eastAsia="仿宋_GB2312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</w:rPr>
        <w:t>2023</w:t>
      </w:r>
      <w:r>
        <w:rPr>
          <w:rFonts w:ascii="仿宋_GB2312" w:eastAsia="仿宋_GB2312"/>
          <w:bCs/>
          <w:sz w:val="32"/>
          <w:szCs w:val="32"/>
          <w:highlight w:val="none"/>
        </w:rPr>
        <w:t>年本部门无政府性基金安排的支出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。</w:t>
      </w:r>
    </w:p>
    <w:p w14:paraId="251CBFCE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六、其他重要事项的情况说明</w:t>
      </w:r>
    </w:p>
    <w:p w14:paraId="12F249D8">
      <w:pPr>
        <w:widowControl/>
        <w:spacing w:line="600" w:lineRule="exact"/>
        <w:ind w:firstLine="660"/>
        <w:jc w:val="left"/>
        <w:rPr>
          <w:rFonts w:ascii="仿宋_GB2312" w:eastAsia="仿宋_GB2312"/>
          <w:bCs/>
          <w:sz w:val="32"/>
          <w:szCs w:val="32"/>
          <w:highlight w:val="none"/>
        </w:rPr>
      </w:pPr>
      <w:r>
        <w:rPr>
          <w:rFonts w:eastAsia="楷体_GB2312"/>
          <w:b/>
          <w:sz w:val="32"/>
          <w:szCs w:val="32"/>
          <w:highlight w:val="none"/>
        </w:rPr>
        <w:t>（一）机关运行经费：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2023</w:t>
      </w:r>
      <w:r>
        <w:rPr>
          <w:rFonts w:ascii="仿宋_GB2312" w:eastAsia="仿宋_GB2312"/>
          <w:bCs/>
          <w:sz w:val="32"/>
          <w:szCs w:val="32"/>
          <w:highlight w:val="none"/>
        </w:rPr>
        <w:t>年本部门机关运行经费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27.08</w:t>
      </w:r>
      <w:r>
        <w:rPr>
          <w:rFonts w:ascii="仿宋_GB2312" w:eastAsia="仿宋_GB2312"/>
          <w:bCs/>
          <w:sz w:val="32"/>
          <w:szCs w:val="32"/>
          <w:highlight w:val="none"/>
        </w:rPr>
        <w:t>万元，比上年预算减少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10.52</w:t>
      </w:r>
      <w:r>
        <w:rPr>
          <w:rFonts w:ascii="仿宋_GB2312" w:eastAsia="仿宋_GB2312"/>
          <w:bCs/>
          <w:sz w:val="32"/>
          <w:szCs w:val="32"/>
          <w:highlight w:val="none"/>
        </w:rPr>
        <w:t>万元，下降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27.99</w:t>
      </w:r>
      <w:r>
        <w:rPr>
          <w:rFonts w:ascii="仿宋_GB2312" w:eastAsia="仿宋_GB2312"/>
          <w:bCs/>
          <w:sz w:val="32"/>
          <w:szCs w:val="32"/>
          <w:highlight w:val="none"/>
        </w:rPr>
        <w:t>%，主要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原因</w:t>
      </w:r>
      <w:r>
        <w:rPr>
          <w:rFonts w:ascii="仿宋_GB2312" w:eastAsia="仿宋_GB2312"/>
          <w:bCs/>
          <w:sz w:val="32"/>
          <w:szCs w:val="32"/>
          <w:highlight w:val="none"/>
        </w:rPr>
        <w:t>是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厉行节约，压减不必要的开支。</w:t>
      </w:r>
    </w:p>
    <w:p w14:paraId="67975B09">
      <w:pPr>
        <w:widowControl/>
        <w:spacing w:line="600" w:lineRule="exact"/>
        <w:ind w:firstLine="660"/>
        <w:rPr>
          <w:rFonts w:eastAsia="仿宋_GB2312"/>
          <w:sz w:val="32"/>
          <w:szCs w:val="32"/>
          <w:highlight w:val="none"/>
        </w:rPr>
      </w:pPr>
      <w:r>
        <w:rPr>
          <w:rFonts w:eastAsia="楷体_GB2312"/>
          <w:b/>
          <w:sz w:val="32"/>
          <w:szCs w:val="32"/>
          <w:highlight w:val="none"/>
        </w:rPr>
        <w:t>（二）“三公”经费预算：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2023</w:t>
      </w:r>
      <w:r>
        <w:rPr>
          <w:rFonts w:ascii="仿宋_GB2312" w:eastAsia="仿宋_GB2312"/>
          <w:bCs/>
          <w:sz w:val="32"/>
          <w:szCs w:val="32"/>
          <w:highlight w:val="none"/>
        </w:rPr>
        <w:t>年本部门“三公”经费预算数为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万元，其中，公务接待费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万元，公务用车购置及运行费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 xml:space="preserve">   万元（其中，公务用车购置费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万元，公务用车运行费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万元），因公出国（境）费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万元。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2023</w:t>
      </w:r>
      <w:r>
        <w:rPr>
          <w:rFonts w:ascii="仿宋_GB2312" w:eastAsia="仿宋_GB2312"/>
          <w:bCs/>
          <w:sz w:val="32"/>
          <w:szCs w:val="32"/>
          <w:highlight w:val="none"/>
        </w:rPr>
        <w:t>年“三公”经费预算较202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2</w:t>
      </w:r>
      <w:r>
        <w:rPr>
          <w:rFonts w:ascii="仿宋_GB2312" w:eastAsia="仿宋_GB2312"/>
          <w:bCs/>
          <w:sz w:val="32"/>
          <w:szCs w:val="32"/>
          <w:highlight w:val="none"/>
        </w:rPr>
        <w:t>年减少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9.6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万元，主要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原因</w:t>
      </w:r>
      <w:r>
        <w:rPr>
          <w:rFonts w:ascii="仿宋_GB2312" w:eastAsia="仿宋_GB2312"/>
          <w:bCs/>
          <w:sz w:val="32"/>
          <w:szCs w:val="32"/>
          <w:highlight w:val="none"/>
        </w:rPr>
        <w:t>是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厉行节约、反对铺张浪费</w:t>
      </w:r>
      <w:r>
        <w:rPr>
          <w:rFonts w:ascii="仿宋_GB2312" w:eastAsia="仿宋_GB2312"/>
          <w:bCs/>
          <w:sz w:val="32"/>
          <w:szCs w:val="32"/>
          <w:highlight w:val="none"/>
        </w:rPr>
        <w:t>。</w:t>
      </w:r>
    </w:p>
    <w:p w14:paraId="52A5CE67">
      <w:pPr>
        <w:widowControl/>
        <w:spacing w:line="600" w:lineRule="exact"/>
        <w:ind w:firstLine="660"/>
        <w:rPr>
          <w:rFonts w:ascii="仿宋_GB2312" w:eastAsia="仿宋_GB2312"/>
          <w:bCs/>
          <w:sz w:val="32"/>
          <w:szCs w:val="32"/>
          <w:highlight w:val="none"/>
        </w:rPr>
      </w:pPr>
      <w:r>
        <w:rPr>
          <w:rFonts w:eastAsia="楷体_GB2312"/>
          <w:b/>
          <w:sz w:val="32"/>
          <w:szCs w:val="32"/>
          <w:highlight w:val="none"/>
        </w:rPr>
        <w:t>（三）一般性支出情况：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2023</w:t>
      </w:r>
      <w:r>
        <w:rPr>
          <w:rFonts w:ascii="仿宋_GB2312" w:eastAsia="仿宋_GB2312"/>
          <w:bCs/>
          <w:sz w:val="32"/>
          <w:szCs w:val="32"/>
          <w:highlight w:val="none"/>
        </w:rPr>
        <w:t>年本部门会议费预算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万元，拟召开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会议，人数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人；培训费预算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万元，拟开展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培训，人数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人；拟举办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0场</w:t>
      </w:r>
      <w:r>
        <w:rPr>
          <w:rFonts w:ascii="仿宋_GB2312" w:eastAsia="仿宋_GB2312"/>
          <w:bCs/>
          <w:sz w:val="32"/>
          <w:szCs w:val="32"/>
          <w:highlight w:val="none"/>
        </w:rPr>
        <w:t>节庆、晚会、论坛、赛事活动，经费预算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万元。</w:t>
      </w:r>
    </w:p>
    <w:p w14:paraId="392D89A9">
      <w:pPr>
        <w:widowControl/>
        <w:spacing w:line="600" w:lineRule="exact"/>
        <w:ind w:firstLine="660"/>
        <w:rPr>
          <w:rFonts w:ascii="仿宋_GB2312" w:eastAsia="仿宋_GB2312"/>
          <w:bCs/>
          <w:sz w:val="32"/>
          <w:szCs w:val="32"/>
          <w:highlight w:val="none"/>
        </w:rPr>
      </w:pPr>
      <w:r>
        <w:rPr>
          <w:rFonts w:eastAsia="楷体_GB2312"/>
          <w:b/>
          <w:sz w:val="32"/>
          <w:szCs w:val="32"/>
          <w:highlight w:val="none"/>
        </w:rPr>
        <w:t>（四）政府采购情况：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2023</w:t>
      </w:r>
      <w:r>
        <w:rPr>
          <w:rFonts w:ascii="仿宋_GB2312" w:eastAsia="仿宋_GB2312"/>
          <w:bCs/>
          <w:sz w:val="32"/>
          <w:szCs w:val="32"/>
          <w:highlight w:val="none"/>
        </w:rPr>
        <w:t>年本部门政府采购预算总额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万元，其中，货物类采购预算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万元；工程类采购预算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万元；服务类采购预算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万元。</w:t>
      </w:r>
    </w:p>
    <w:p w14:paraId="397D75E2">
      <w:pPr>
        <w:widowControl/>
        <w:spacing w:line="600" w:lineRule="exact"/>
        <w:ind w:firstLine="707" w:firstLineChars="220"/>
        <w:jc w:val="left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楷体_GB2312"/>
          <w:b/>
          <w:sz w:val="32"/>
          <w:szCs w:val="32"/>
          <w:highlight w:val="none"/>
        </w:rPr>
        <w:t>（五）</w:t>
      </w:r>
      <w:r>
        <w:rPr>
          <w:rFonts w:eastAsia="楷体_GB2312"/>
          <w:b/>
          <w:sz w:val="32"/>
          <w:szCs w:val="32"/>
          <w:highlight w:val="none"/>
        </w:rPr>
        <w:t>国有资产占用使用及新增资产配置情况：</w:t>
      </w:r>
      <w:r>
        <w:rPr>
          <w:rFonts w:ascii="仿宋_GB2312" w:eastAsia="仿宋_GB2312"/>
          <w:bCs/>
          <w:sz w:val="32"/>
          <w:szCs w:val="32"/>
          <w:highlight w:val="none"/>
        </w:rPr>
        <w:t>截至202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2</w:t>
      </w:r>
      <w:r>
        <w:rPr>
          <w:rFonts w:ascii="仿宋_GB2312" w:eastAsia="仿宋_GB2312"/>
          <w:bCs/>
          <w:sz w:val="32"/>
          <w:szCs w:val="32"/>
          <w:highlight w:val="none"/>
        </w:rPr>
        <w:t>年12月底，本部门共有公务用车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辆，其中，机要通信用车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 xml:space="preserve">  辆，应急保障用车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辆，执法执勤用车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辆，特种专业技术用车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辆，其他按照规定配备的公务用车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辆；单位价值50万元以上通用设备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台，单位价值100万元以上专用设备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台。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2023</w:t>
      </w:r>
      <w:r>
        <w:rPr>
          <w:rFonts w:ascii="仿宋_GB2312" w:eastAsia="仿宋_GB2312"/>
          <w:bCs/>
          <w:sz w:val="32"/>
          <w:szCs w:val="32"/>
          <w:highlight w:val="none"/>
        </w:rPr>
        <w:t>年拟新增配置公务用车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辆，其中，机要通信用车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辆，应急保障用车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辆，执法执勤用车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辆，特种专业技术用车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辆，其他按照规定配备的公务用车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辆；新增配备单位价值50万元以上通用设备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台，单位价值100万元以上专用设备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</w:t>
      </w:r>
      <w:r>
        <w:rPr>
          <w:rFonts w:ascii="仿宋_GB2312" w:eastAsia="仿宋_GB2312"/>
          <w:bCs/>
          <w:sz w:val="32"/>
          <w:szCs w:val="32"/>
          <w:highlight w:val="none"/>
        </w:rPr>
        <w:t>台。</w:t>
      </w:r>
    </w:p>
    <w:p w14:paraId="40FD2E93">
      <w:pPr>
        <w:spacing w:line="600" w:lineRule="exact"/>
        <w:ind w:firstLine="707" w:firstLineChars="220"/>
        <w:rPr>
          <w:rFonts w:ascii="仿宋_GB2312" w:eastAsia="仿宋_GB2312"/>
          <w:bCs/>
          <w:sz w:val="32"/>
          <w:szCs w:val="32"/>
          <w:highlight w:val="none"/>
        </w:rPr>
      </w:pPr>
      <w:r>
        <w:rPr>
          <w:rFonts w:hint="eastAsia" w:eastAsia="楷体_GB2312"/>
          <w:b/>
          <w:sz w:val="32"/>
          <w:szCs w:val="32"/>
          <w:highlight w:val="none"/>
        </w:rPr>
        <w:t>（六）</w:t>
      </w:r>
      <w:r>
        <w:rPr>
          <w:rFonts w:ascii="楷体_GB2312" w:eastAsia="楷体_GB2312"/>
          <w:b/>
          <w:bCs/>
          <w:kern w:val="0"/>
          <w:sz w:val="32"/>
          <w:szCs w:val="32"/>
          <w:highlight w:val="none"/>
        </w:rPr>
        <w:t>预算绩效目标说明：</w:t>
      </w:r>
      <w:r>
        <w:rPr>
          <w:rFonts w:ascii="仿宋_GB2312" w:eastAsia="仿宋_GB2312"/>
          <w:bCs/>
          <w:sz w:val="32"/>
          <w:szCs w:val="32"/>
          <w:highlight w:val="none"/>
        </w:rPr>
        <w:t>本部门所有支出实行绩效目标管理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。</w:t>
      </w:r>
      <w:r>
        <w:rPr>
          <w:rFonts w:ascii="仿宋_GB2312" w:eastAsia="仿宋_GB2312"/>
          <w:bCs/>
          <w:sz w:val="32"/>
          <w:szCs w:val="32"/>
          <w:highlight w:val="none"/>
        </w:rPr>
        <w:t>纳入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2023</w:t>
      </w:r>
      <w:r>
        <w:rPr>
          <w:rFonts w:ascii="仿宋_GB2312" w:eastAsia="仿宋_GB2312"/>
          <w:bCs/>
          <w:sz w:val="32"/>
          <w:szCs w:val="32"/>
          <w:highlight w:val="none"/>
        </w:rPr>
        <w:t>年部门整体支出绩效目标的金额为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286.04</w:t>
      </w:r>
      <w:r>
        <w:rPr>
          <w:rFonts w:ascii="仿宋_GB2312" w:eastAsia="仿宋_GB2312"/>
          <w:bCs/>
          <w:sz w:val="32"/>
          <w:szCs w:val="32"/>
          <w:highlight w:val="none"/>
        </w:rPr>
        <w:t>万元，其中，基本支出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231.04</w:t>
      </w:r>
      <w:r>
        <w:rPr>
          <w:rFonts w:ascii="仿宋_GB2312" w:eastAsia="仿宋_GB2312"/>
          <w:bCs/>
          <w:sz w:val="32"/>
          <w:szCs w:val="32"/>
          <w:highlight w:val="none"/>
        </w:rPr>
        <w:t>万元，项目支出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55</w:t>
      </w:r>
      <w:r>
        <w:rPr>
          <w:rFonts w:ascii="仿宋_GB2312" w:eastAsia="仿宋_GB2312"/>
          <w:bCs/>
          <w:sz w:val="32"/>
          <w:szCs w:val="32"/>
          <w:highlight w:val="none"/>
        </w:rPr>
        <w:t>万元，具体绩效目标详见报表。</w:t>
      </w:r>
    </w:p>
    <w:p w14:paraId="52784119">
      <w:pPr>
        <w:widowControl/>
        <w:spacing w:line="600" w:lineRule="exact"/>
        <w:ind w:firstLine="709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七、名词解释</w:t>
      </w:r>
    </w:p>
    <w:p w14:paraId="18F4A633">
      <w:pPr>
        <w:widowControl/>
        <w:spacing w:line="600" w:lineRule="exact"/>
        <w:ind w:firstLine="660"/>
        <w:rPr>
          <w:rFonts w:ascii="仿宋_GB2312" w:eastAsia="仿宋_GB2312"/>
          <w:bCs/>
          <w:sz w:val="32"/>
          <w:szCs w:val="32"/>
          <w:highlight w:val="none"/>
        </w:rPr>
      </w:pPr>
      <w:r>
        <w:rPr>
          <w:rFonts w:ascii="仿宋_GB2312" w:eastAsia="仿宋_GB2312"/>
          <w:bCs/>
          <w:sz w:val="32"/>
          <w:szCs w:val="32"/>
          <w:highlight w:val="none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14:paraId="2758475C">
      <w:pPr>
        <w:widowControl/>
        <w:spacing w:line="600" w:lineRule="exact"/>
        <w:ind w:firstLine="660"/>
        <w:rPr>
          <w:rFonts w:ascii="仿宋_GB2312" w:eastAsia="仿宋_GB2312"/>
          <w:bCs/>
          <w:sz w:val="32"/>
          <w:szCs w:val="32"/>
          <w:highlight w:val="none"/>
        </w:rPr>
      </w:pPr>
      <w:r>
        <w:rPr>
          <w:rFonts w:ascii="仿宋_GB2312" w:eastAsia="仿宋_GB2312"/>
          <w:bCs/>
          <w:sz w:val="32"/>
          <w:szCs w:val="32"/>
          <w:highlight w:val="none"/>
        </w:rPr>
        <w:t>2、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 w14:paraId="7F7C30C4">
      <w:pPr>
        <w:widowControl/>
        <w:spacing w:line="600" w:lineRule="exact"/>
        <w:ind w:firstLine="660"/>
        <w:rPr>
          <w:rFonts w:hint="eastAsia" w:ascii="仿宋_GB2312" w:eastAsia="仿宋_GB2312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</w:rPr>
        <w:t>3、一般公共预算: 是对以税收为主体的财政收入，安排用于保障和改善民生、推动经济社会发展、维护国家安全、维持国家机构正常运转等方面的收支预算。一般公共预算收入即通常所指的“财政收入”，按照2015年1月1日起施行的新《预算法》，改称“一般公共预算收入”。全县一般公共预算收入由地方收入、上划中央收入、上划省级收入三部分构成。</w:t>
      </w:r>
    </w:p>
    <w:p w14:paraId="46ED0DF9">
      <w:pPr>
        <w:widowControl/>
        <w:spacing w:line="600" w:lineRule="exact"/>
        <w:ind w:firstLine="660"/>
        <w:rPr>
          <w:rFonts w:hint="eastAsia" w:ascii="仿宋_GB2312" w:eastAsia="仿宋_GB2312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</w:rPr>
        <w:t>4、政府性基金预算: 是对依照法律、行政法规的规定在一定期限内向特定对象征收、收取或者以其他方式筹集的资金，专项用于特定公共事业发展的收支预算。应当根据基金项目收入情况和实际支出需要，按基金项目编制，做到以收定支。</w:t>
      </w:r>
    </w:p>
    <w:p w14:paraId="7EBC0C02">
      <w:pPr>
        <w:widowControl/>
        <w:spacing w:line="600" w:lineRule="exact"/>
        <w:ind w:firstLine="660"/>
        <w:rPr>
          <w:rFonts w:hint="eastAsia" w:ascii="仿宋_GB2312" w:eastAsia="仿宋_GB2312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</w:rPr>
        <w:t>5、国有资本经营预算: 是对国有资本收益作出支出安排的收支预算。应当按照收支平衡的原则编制，不列赤字，并安排资金调入一般公共预算。</w:t>
      </w:r>
    </w:p>
    <w:p w14:paraId="565BC9D3">
      <w:pPr>
        <w:widowControl/>
        <w:spacing w:line="600" w:lineRule="exact"/>
        <w:ind w:firstLine="660"/>
        <w:rPr>
          <w:rFonts w:hint="eastAsia" w:ascii="仿宋_GB2312" w:eastAsia="仿宋_GB2312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</w:rPr>
        <w:t>6、社会保险基金预算: 是对社会保险缴款、一般公共预算安排和其他方式筹集的资金，专项用于社会保险的收支预算。应当按照统筹层次和社会保险项目分别编制，做到收支平衡。</w:t>
      </w:r>
    </w:p>
    <w:p w14:paraId="248EB5B6">
      <w:pPr>
        <w:widowControl/>
        <w:spacing w:line="600" w:lineRule="exact"/>
        <w:ind w:firstLine="660"/>
        <w:rPr>
          <w:rFonts w:ascii="仿宋_GB2312" w:eastAsia="仿宋_GB2312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</w:rPr>
        <w:t>7、基本支出：指为保障机构正常运转、完成日常工作任务而发生的人员支出和公用支出。</w:t>
      </w:r>
    </w:p>
    <w:p w14:paraId="625D3CF7"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  <w:highlight w:val="none"/>
        </w:rPr>
      </w:pPr>
    </w:p>
    <w:p w14:paraId="040C02C2"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  <w:highlight w:val="none"/>
        </w:rPr>
      </w:pPr>
    </w:p>
    <w:p w14:paraId="14782146"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  <w:highlight w:val="none"/>
        </w:rPr>
      </w:pPr>
    </w:p>
    <w:p w14:paraId="53869132">
      <w:pPr>
        <w:widowControl/>
        <w:spacing w:line="600" w:lineRule="exact"/>
        <w:rPr>
          <w:rFonts w:eastAsia="方正小标宋_GBK"/>
          <w:bCs/>
          <w:kern w:val="0"/>
          <w:sz w:val="36"/>
          <w:szCs w:val="36"/>
          <w:highlight w:val="none"/>
        </w:rPr>
      </w:pPr>
    </w:p>
    <w:p w14:paraId="3D118B60"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  <w:highlight w:val="none"/>
        </w:rPr>
      </w:pPr>
      <w:r>
        <w:rPr>
          <w:rFonts w:eastAsia="黑体"/>
          <w:bCs/>
          <w:kern w:val="0"/>
          <w:sz w:val="32"/>
          <w:szCs w:val="32"/>
          <w:highlight w:val="none"/>
        </w:rPr>
        <w:t>第二部分</w:t>
      </w:r>
      <w:r>
        <w:rPr>
          <w:rFonts w:hint="eastAsia" w:eastAsia="黑体"/>
          <w:bCs/>
          <w:kern w:val="0"/>
          <w:sz w:val="32"/>
          <w:szCs w:val="32"/>
          <w:highlight w:val="none"/>
        </w:rPr>
        <w:t xml:space="preserve"> </w:t>
      </w:r>
      <w:r>
        <w:rPr>
          <w:rFonts w:eastAsia="黑体"/>
          <w:bCs/>
          <w:kern w:val="0"/>
          <w:sz w:val="32"/>
          <w:szCs w:val="32"/>
          <w:highlight w:val="none"/>
        </w:rPr>
        <w:t xml:space="preserve"> </w:t>
      </w:r>
      <w:r>
        <w:rPr>
          <w:rFonts w:hint="eastAsia" w:eastAsia="黑体"/>
          <w:bCs/>
          <w:kern w:val="0"/>
          <w:sz w:val="32"/>
          <w:szCs w:val="32"/>
          <w:highlight w:val="none"/>
        </w:rPr>
        <w:t>2023</w:t>
      </w:r>
      <w:r>
        <w:rPr>
          <w:rFonts w:eastAsia="黑体"/>
          <w:bCs/>
          <w:kern w:val="0"/>
          <w:sz w:val="32"/>
          <w:szCs w:val="32"/>
          <w:highlight w:val="none"/>
        </w:rPr>
        <w:t>年部门预算表</w:t>
      </w:r>
    </w:p>
    <w:p w14:paraId="2E6732FF">
      <w:pPr>
        <w:widowControl/>
        <w:spacing w:line="600" w:lineRule="exact"/>
        <w:jc w:val="center"/>
        <w:rPr>
          <w:rFonts w:hint="eastAsia" w:eastAsia="黑体"/>
          <w:bCs/>
          <w:kern w:val="0"/>
          <w:sz w:val="32"/>
          <w:szCs w:val="32"/>
          <w:highlight w:val="none"/>
        </w:rPr>
      </w:pPr>
    </w:p>
    <w:p w14:paraId="3B1494AF">
      <w:pPr>
        <w:spacing w:line="600" w:lineRule="exact"/>
        <w:rPr>
          <w:rFonts w:hint="eastAsia"/>
          <w:highlight w:val="none"/>
        </w:rPr>
      </w:pPr>
      <w:r>
        <w:rPr>
          <w:rFonts w:hint="eastAsia"/>
          <w:highlight w:val="none"/>
        </w:rPr>
        <w:t>（上传附件）</w:t>
      </w:r>
    </w:p>
    <w:p w14:paraId="13CE769C">
      <w:pPr>
        <w:spacing w:line="600" w:lineRule="exact"/>
        <w:rPr>
          <w:rFonts w:hint="eastAsia"/>
          <w:highlight w:val="none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titlePg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20B6E">
    <w:pPr>
      <w:pStyle w:val="5"/>
      <w:ind w:right="280" w:firstLine="360"/>
      <w:jc w:val="right"/>
      <w:rPr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  <w:lang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E1931">
    <w:pPr>
      <w:pStyle w:val="5"/>
      <w:ind w:right="360" w:firstLine="280" w:firstLineChars="100"/>
      <w:rPr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  <w:lang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6F7E8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D66D5E"/>
    <w:multiLevelType w:val="singleLevel"/>
    <w:tmpl w:val="FAD66D5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26A5648"/>
    <w:multiLevelType w:val="singleLevel"/>
    <w:tmpl w:val="626A564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YTdlMTA4NjVhYTk1MzQxZTNlOWIxZTA0ZWNjOWQifQ=="/>
  </w:docVars>
  <w:rsids>
    <w:rsidRoot w:val="00172A27"/>
    <w:rsid w:val="000022B9"/>
    <w:rsid w:val="00025999"/>
    <w:rsid w:val="00034614"/>
    <w:rsid w:val="00037C7A"/>
    <w:rsid w:val="000764C6"/>
    <w:rsid w:val="00080C74"/>
    <w:rsid w:val="00083A25"/>
    <w:rsid w:val="000B0731"/>
    <w:rsid w:val="000C4AE2"/>
    <w:rsid w:val="0014543A"/>
    <w:rsid w:val="00151CBC"/>
    <w:rsid w:val="00153303"/>
    <w:rsid w:val="00153671"/>
    <w:rsid w:val="001633B3"/>
    <w:rsid w:val="001704F9"/>
    <w:rsid w:val="00184FD5"/>
    <w:rsid w:val="001F6F2F"/>
    <w:rsid w:val="002001EF"/>
    <w:rsid w:val="00206441"/>
    <w:rsid w:val="002862C6"/>
    <w:rsid w:val="00290F4B"/>
    <w:rsid w:val="002B4443"/>
    <w:rsid w:val="002D1202"/>
    <w:rsid w:val="00327295"/>
    <w:rsid w:val="003A55F2"/>
    <w:rsid w:val="003E2F6B"/>
    <w:rsid w:val="003F38A7"/>
    <w:rsid w:val="003F7E05"/>
    <w:rsid w:val="00414F0B"/>
    <w:rsid w:val="00422E20"/>
    <w:rsid w:val="00423E64"/>
    <w:rsid w:val="0043177C"/>
    <w:rsid w:val="00440598"/>
    <w:rsid w:val="004631A1"/>
    <w:rsid w:val="004952E3"/>
    <w:rsid w:val="004A1A20"/>
    <w:rsid w:val="004A37E9"/>
    <w:rsid w:val="004B238D"/>
    <w:rsid w:val="004C0683"/>
    <w:rsid w:val="004C3294"/>
    <w:rsid w:val="004E3CE4"/>
    <w:rsid w:val="00506544"/>
    <w:rsid w:val="00537B20"/>
    <w:rsid w:val="00566F57"/>
    <w:rsid w:val="00572188"/>
    <w:rsid w:val="005B4B5B"/>
    <w:rsid w:val="005C4EB2"/>
    <w:rsid w:val="005C7CCA"/>
    <w:rsid w:val="005E6554"/>
    <w:rsid w:val="005F7DA9"/>
    <w:rsid w:val="00601325"/>
    <w:rsid w:val="0062001D"/>
    <w:rsid w:val="00630977"/>
    <w:rsid w:val="00647632"/>
    <w:rsid w:val="006527A6"/>
    <w:rsid w:val="00681BFA"/>
    <w:rsid w:val="006D5BC6"/>
    <w:rsid w:val="007039FE"/>
    <w:rsid w:val="00724687"/>
    <w:rsid w:val="00726174"/>
    <w:rsid w:val="00736FA5"/>
    <w:rsid w:val="00755F55"/>
    <w:rsid w:val="00781723"/>
    <w:rsid w:val="007940F2"/>
    <w:rsid w:val="007A66D7"/>
    <w:rsid w:val="007B4CD3"/>
    <w:rsid w:val="007B6779"/>
    <w:rsid w:val="007C6FB3"/>
    <w:rsid w:val="00800793"/>
    <w:rsid w:val="0080797E"/>
    <w:rsid w:val="008267AF"/>
    <w:rsid w:val="00833870"/>
    <w:rsid w:val="0085520B"/>
    <w:rsid w:val="00855D45"/>
    <w:rsid w:val="00874AD9"/>
    <w:rsid w:val="00883BAF"/>
    <w:rsid w:val="008872A3"/>
    <w:rsid w:val="00897FF8"/>
    <w:rsid w:val="00912994"/>
    <w:rsid w:val="00932625"/>
    <w:rsid w:val="00933D20"/>
    <w:rsid w:val="00951A29"/>
    <w:rsid w:val="00954C45"/>
    <w:rsid w:val="00954D7D"/>
    <w:rsid w:val="009B7871"/>
    <w:rsid w:val="009C5A0D"/>
    <w:rsid w:val="009F6081"/>
    <w:rsid w:val="00A01A6E"/>
    <w:rsid w:val="00A02EC6"/>
    <w:rsid w:val="00A05EFE"/>
    <w:rsid w:val="00A133D1"/>
    <w:rsid w:val="00A16EB9"/>
    <w:rsid w:val="00A211B1"/>
    <w:rsid w:val="00A24F95"/>
    <w:rsid w:val="00A25E3A"/>
    <w:rsid w:val="00A261A8"/>
    <w:rsid w:val="00A73AD9"/>
    <w:rsid w:val="00A76E89"/>
    <w:rsid w:val="00A867F1"/>
    <w:rsid w:val="00A90A98"/>
    <w:rsid w:val="00A94758"/>
    <w:rsid w:val="00AA099B"/>
    <w:rsid w:val="00AB249A"/>
    <w:rsid w:val="00AB2D94"/>
    <w:rsid w:val="00AC59AF"/>
    <w:rsid w:val="00AD2E80"/>
    <w:rsid w:val="00AD3986"/>
    <w:rsid w:val="00AF59D2"/>
    <w:rsid w:val="00AF662B"/>
    <w:rsid w:val="00B173EA"/>
    <w:rsid w:val="00B25D29"/>
    <w:rsid w:val="00B63868"/>
    <w:rsid w:val="00BA0CC5"/>
    <w:rsid w:val="00BA35FF"/>
    <w:rsid w:val="00BA49A5"/>
    <w:rsid w:val="00BD1A7A"/>
    <w:rsid w:val="00C057E1"/>
    <w:rsid w:val="00C45712"/>
    <w:rsid w:val="00C461B1"/>
    <w:rsid w:val="00C502E6"/>
    <w:rsid w:val="00CA00AA"/>
    <w:rsid w:val="00CB1E1C"/>
    <w:rsid w:val="00CD305F"/>
    <w:rsid w:val="00CD5B2D"/>
    <w:rsid w:val="00D472E6"/>
    <w:rsid w:val="00D51002"/>
    <w:rsid w:val="00D54532"/>
    <w:rsid w:val="00D6000D"/>
    <w:rsid w:val="00D6241C"/>
    <w:rsid w:val="00D64B55"/>
    <w:rsid w:val="00D65319"/>
    <w:rsid w:val="00D75C8F"/>
    <w:rsid w:val="00D83031"/>
    <w:rsid w:val="00DA1AE3"/>
    <w:rsid w:val="00DB52CA"/>
    <w:rsid w:val="00DE2ACC"/>
    <w:rsid w:val="00DF3218"/>
    <w:rsid w:val="00DF6AC9"/>
    <w:rsid w:val="00E12FB9"/>
    <w:rsid w:val="00E33A41"/>
    <w:rsid w:val="00E40D8D"/>
    <w:rsid w:val="00E6144F"/>
    <w:rsid w:val="00E752E5"/>
    <w:rsid w:val="00E8260A"/>
    <w:rsid w:val="00E83486"/>
    <w:rsid w:val="00EA217D"/>
    <w:rsid w:val="00EC0BFA"/>
    <w:rsid w:val="00EC552C"/>
    <w:rsid w:val="00ED0A8C"/>
    <w:rsid w:val="00ED1797"/>
    <w:rsid w:val="00F00837"/>
    <w:rsid w:val="00F06CDC"/>
    <w:rsid w:val="00F10AC1"/>
    <w:rsid w:val="00F15BE4"/>
    <w:rsid w:val="00F24A6F"/>
    <w:rsid w:val="00F72E34"/>
    <w:rsid w:val="00F73DBC"/>
    <w:rsid w:val="00F90582"/>
    <w:rsid w:val="00FA6159"/>
    <w:rsid w:val="00FB0CAC"/>
    <w:rsid w:val="00FC06EE"/>
    <w:rsid w:val="00FC18E5"/>
    <w:rsid w:val="00FC623E"/>
    <w:rsid w:val="00FC6E95"/>
    <w:rsid w:val="00FF6FAB"/>
    <w:rsid w:val="05CD13A3"/>
    <w:rsid w:val="08CE7CA0"/>
    <w:rsid w:val="1077634E"/>
    <w:rsid w:val="11615214"/>
    <w:rsid w:val="17092FE5"/>
    <w:rsid w:val="1C7F77CD"/>
    <w:rsid w:val="204C60AC"/>
    <w:rsid w:val="235324F1"/>
    <w:rsid w:val="273E5D42"/>
    <w:rsid w:val="2B854962"/>
    <w:rsid w:val="2CE771EE"/>
    <w:rsid w:val="2DBD036B"/>
    <w:rsid w:val="33AC0E17"/>
    <w:rsid w:val="4BE5530D"/>
    <w:rsid w:val="4D366A2A"/>
    <w:rsid w:val="5E753EF3"/>
    <w:rsid w:val="6C400AD3"/>
    <w:rsid w:val="6E3D3CC8"/>
    <w:rsid w:val="793B3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Body Text"/>
    <w:basedOn w:val="1"/>
    <w:link w:val="14"/>
    <w:uiPriority w:val="0"/>
    <w:pPr>
      <w:spacing w:after="120" w:afterLines="0"/>
    </w:pPr>
  </w:style>
  <w:style w:type="paragraph" w:styleId="4">
    <w:name w:val="Balloon Text"/>
    <w:basedOn w:val="1"/>
    <w:link w:val="15"/>
    <w:semiHidden/>
    <w:uiPriority w:val="99"/>
    <w:rPr>
      <w:sz w:val="18"/>
      <w:szCs w:val="18"/>
    </w:rPr>
  </w:style>
  <w:style w:type="paragraph" w:styleId="5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8"/>
    <w:uiPriority w:val="0"/>
    <w:rPr>
      <w:b/>
      <w:bCs/>
    </w:rPr>
  </w:style>
  <w:style w:type="character" w:styleId="11">
    <w:name w:val="page number"/>
    <w:basedOn w:val="10"/>
    <w:uiPriority w:val="0"/>
  </w:style>
  <w:style w:type="character" w:styleId="12">
    <w:name w:val="annotation reference"/>
    <w:basedOn w:val="10"/>
    <w:uiPriority w:val="0"/>
    <w:rPr>
      <w:sz w:val="21"/>
      <w:szCs w:val="21"/>
    </w:rPr>
  </w:style>
  <w:style w:type="character" w:customStyle="1" w:styleId="13">
    <w:name w:val="批注文字 Char"/>
    <w:basedOn w:val="10"/>
    <w:link w:val="2"/>
    <w:uiPriority w:val="0"/>
    <w:rPr>
      <w:kern w:val="2"/>
      <w:sz w:val="21"/>
      <w:szCs w:val="24"/>
    </w:rPr>
  </w:style>
  <w:style w:type="character" w:customStyle="1" w:styleId="14">
    <w:name w:val="正文文本 Char"/>
    <w:link w:val="3"/>
    <w:uiPriority w:val="0"/>
    <w:rPr>
      <w:kern w:val="2"/>
      <w:sz w:val="21"/>
      <w:szCs w:val="24"/>
    </w:rPr>
  </w:style>
  <w:style w:type="character" w:customStyle="1" w:styleId="15">
    <w:name w:val="批注框文本 Char"/>
    <w:link w:val="4"/>
    <w:semiHidden/>
    <w:uiPriority w:val="99"/>
    <w:rPr>
      <w:kern w:val="2"/>
      <w:sz w:val="18"/>
      <w:szCs w:val="18"/>
    </w:rPr>
  </w:style>
  <w:style w:type="character" w:customStyle="1" w:styleId="16">
    <w:name w:val="页脚 Char"/>
    <w:link w:val="5"/>
    <w:uiPriority w:val="99"/>
    <w:rPr>
      <w:kern w:val="2"/>
      <w:sz w:val="18"/>
      <w:szCs w:val="18"/>
    </w:rPr>
  </w:style>
  <w:style w:type="character" w:customStyle="1" w:styleId="17">
    <w:name w:val="页眉 Char"/>
    <w:link w:val="6"/>
    <w:uiPriority w:val="99"/>
    <w:rPr>
      <w:kern w:val="2"/>
      <w:sz w:val="18"/>
      <w:szCs w:val="18"/>
    </w:rPr>
  </w:style>
  <w:style w:type="character" w:customStyle="1" w:styleId="18">
    <w:name w:val="批注主题 Char"/>
    <w:basedOn w:val="13"/>
    <w:link w:val="8"/>
    <w:uiPriority w:val="0"/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0">
    <w:name w:val="Default"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21">
    <w:name w:val="表格内容"/>
    <w:basedOn w:val="3"/>
    <w:uiPriority w:val="0"/>
    <w:pPr>
      <w:suppressLineNumbers/>
      <w:suppressAutoHyphens/>
      <w:jc w:val="left"/>
    </w:pPr>
    <w:rPr>
      <w:rFonts w:cs="Tahoma"/>
      <w:kern w:val="0"/>
      <w:sz w:val="24"/>
      <w:lang/>
    </w:rPr>
  </w:style>
  <w:style w:type="character" w:customStyle="1" w:styleId="22">
    <w:name w:val="15"/>
    <w:basedOn w:val="10"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3269</Words>
  <Characters>3481</Characters>
  <Lines>22</Lines>
  <Paragraphs>6</Paragraphs>
  <TotalTime>11</TotalTime>
  <ScaleCrop>false</ScaleCrop>
  <LinksUpToDate>false</LinksUpToDate>
  <CharactersWithSpaces>3513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2023-03-29T08:27:00Z</dcterms:created>
  <dc:creator>Administrator</dc:creator>
  <cp:lastModifiedBy>18673684787</cp:lastModifiedBy>
  <cp:lastPrinted>2021-05-16T11:47:00Z</cp:lastPrinted>
  <dcterms:modified xsi:type="dcterms:W3CDTF">2024-08-20T07:21:10Z</dcterms:modified>
  <dc:title>湖南省财政厅发文（指标、函）稿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01F5913D7BBE4386B49072F67442B957_13</vt:lpwstr>
  </property>
</Properties>
</file>