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58" w:rsidRDefault="00F70358">
      <w:pPr>
        <w:snapToGrid w:val="0"/>
        <w:ind w:firstLineChars="200" w:firstLine="720"/>
        <w:jc w:val="center"/>
        <w:rPr>
          <w:rFonts w:ascii="华文中宋" w:eastAsia="华文中宋" w:hAnsi="华文中宋"/>
          <w:sz w:val="36"/>
          <w:szCs w:val="36"/>
        </w:rPr>
      </w:pPr>
      <w:bookmarkStart w:id="0" w:name="YS060100"/>
      <w:bookmarkStart w:id="1" w:name="第七部分部门决算分析报告撰写提纲"/>
    </w:p>
    <w:p w:rsidR="00F70358" w:rsidRDefault="00F70358">
      <w:pPr>
        <w:snapToGrid w:val="0"/>
        <w:ind w:firstLineChars="200" w:firstLine="880"/>
        <w:jc w:val="center"/>
        <w:rPr>
          <w:rFonts w:ascii="宋体" w:hAnsi="宋体"/>
          <w:sz w:val="44"/>
          <w:szCs w:val="44"/>
        </w:rPr>
      </w:pPr>
    </w:p>
    <w:p w:rsidR="00F70358" w:rsidRDefault="00D811D7">
      <w:pPr>
        <w:snapToGrid w:val="0"/>
        <w:jc w:val="center"/>
        <w:rPr>
          <w:rFonts w:ascii="宋体" w:hAnsi="宋体" w:cs="宋体"/>
          <w:sz w:val="44"/>
          <w:szCs w:val="44"/>
        </w:rPr>
      </w:pPr>
      <w:r>
        <w:rPr>
          <w:rFonts w:ascii="宋体" w:hAnsi="宋体" w:cs="宋体" w:hint="eastAsia"/>
          <w:sz w:val="44"/>
          <w:szCs w:val="44"/>
        </w:rPr>
        <w:t>2023</w:t>
      </w:r>
      <w:r>
        <w:rPr>
          <w:rFonts w:ascii="宋体" w:hAnsi="宋体" w:cs="宋体" w:hint="eastAsia"/>
          <w:sz w:val="44"/>
          <w:szCs w:val="44"/>
        </w:rPr>
        <w:t>年度</w:t>
      </w:r>
    </w:p>
    <w:p w:rsidR="00F70358" w:rsidRDefault="00D811D7">
      <w:pPr>
        <w:snapToGrid w:val="0"/>
        <w:jc w:val="center"/>
        <w:rPr>
          <w:rFonts w:ascii="宋体" w:hAnsi="宋体"/>
          <w:sz w:val="44"/>
          <w:szCs w:val="44"/>
        </w:rPr>
      </w:pPr>
      <w:r>
        <w:rPr>
          <w:rFonts w:ascii="宋体" w:hAnsi="宋体" w:hint="eastAsia"/>
          <w:sz w:val="44"/>
          <w:szCs w:val="44"/>
        </w:rPr>
        <w:t>桃源县</w:t>
      </w:r>
      <w:r>
        <w:rPr>
          <w:rFonts w:ascii="宋体" w:hAnsi="宋体" w:hint="eastAsia"/>
          <w:sz w:val="44"/>
          <w:szCs w:val="44"/>
        </w:rPr>
        <w:t>漳江垸水利管理委员会部门决算</w:t>
      </w:r>
    </w:p>
    <w:bookmarkEnd w:id="0"/>
    <w:p w:rsidR="00F70358" w:rsidRDefault="00F70358">
      <w:pPr>
        <w:snapToGrid w:val="0"/>
        <w:ind w:firstLineChars="200" w:firstLine="640"/>
        <w:rPr>
          <w:rFonts w:ascii="仿宋_GB2312" w:eastAsia="仿宋_GB2312" w:hAnsi="仿宋"/>
          <w:sz w:val="32"/>
          <w:szCs w:val="32"/>
        </w:rPr>
      </w:pPr>
    </w:p>
    <w:p w:rsidR="00F70358" w:rsidRDefault="00D811D7">
      <w:pPr>
        <w:snapToGrid w:val="0"/>
        <w:spacing w:line="520" w:lineRule="exact"/>
        <w:ind w:firstLineChars="200" w:firstLine="640"/>
        <w:jc w:val="center"/>
        <w:rPr>
          <w:rFonts w:ascii="黑体" w:eastAsia="黑体" w:hAnsi="黑体"/>
          <w:sz w:val="32"/>
          <w:szCs w:val="32"/>
        </w:rPr>
      </w:pPr>
      <w:bookmarkStart w:id="2" w:name="YS060101"/>
      <w:r>
        <w:rPr>
          <w:rFonts w:ascii="黑体" w:eastAsia="黑体" w:hAnsi="黑体" w:hint="eastAsia"/>
          <w:sz w:val="32"/>
          <w:szCs w:val="32"/>
        </w:rPr>
        <w:t>目录</w:t>
      </w:r>
    </w:p>
    <w:p w:rsidR="00F70358" w:rsidRDefault="00D811D7">
      <w:pPr>
        <w:snapToGrid w:val="0"/>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部门（单位）情况</w:t>
      </w:r>
    </w:p>
    <w:bookmarkEnd w:id="2"/>
    <w:p w:rsidR="00F70358" w:rsidRDefault="00D811D7">
      <w:pPr>
        <w:snapToGrid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一、部门职责</w:t>
      </w:r>
    </w:p>
    <w:p w:rsidR="00F70358" w:rsidRDefault="00D811D7">
      <w:pPr>
        <w:snapToGrid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二、机构设置</w:t>
      </w:r>
      <w:bookmarkEnd w:id="1"/>
    </w:p>
    <w:p w:rsidR="00F70358" w:rsidRDefault="00D811D7">
      <w:pPr>
        <w:snapToGrid w:val="0"/>
        <w:spacing w:line="520" w:lineRule="exact"/>
        <w:rPr>
          <w:rFonts w:ascii="黑体" w:eastAsia="黑体" w:hAnsi="黑体" w:cs="黑体"/>
          <w:bCs/>
          <w:sz w:val="32"/>
          <w:szCs w:val="32"/>
        </w:rPr>
      </w:pPr>
      <w:r>
        <w:rPr>
          <w:rFonts w:ascii="黑体" w:eastAsia="黑体" w:hAnsi="黑体" w:cs="黑体" w:hint="eastAsia"/>
          <w:bCs/>
          <w:sz w:val="32"/>
          <w:szCs w:val="32"/>
        </w:rPr>
        <w:t>第二部分</w:t>
      </w:r>
      <w:r>
        <w:rPr>
          <w:rFonts w:ascii="黑体" w:eastAsia="黑体" w:hAnsi="黑体" w:cs="黑体" w:hint="eastAsia"/>
          <w:bCs/>
          <w:sz w:val="32"/>
          <w:szCs w:val="32"/>
        </w:rPr>
        <w:t xml:space="preserve"> </w:t>
      </w:r>
      <w:r>
        <w:rPr>
          <w:rFonts w:ascii="黑体" w:eastAsia="黑体" w:hAnsi="黑体" w:cs="黑体" w:hint="eastAsia"/>
          <w:bCs/>
          <w:sz w:val="32"/>
          <w:szCs w:val="32"/>
        </w:rPr>
        <w:t>部门决算表</w:t>
      </w:r>
    </w:p>
    <w:p w:rsidR="00F70358" w:rsidRDefault="00D811D7">
      <w:pPr>
        <w:snapToGrid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一、部门职责</w:t>
      </w:r>
    </w:p>
    <w:p w:rsidR="00F70358" w:rsidRDefault="00D811D7">
      <w:pPr>
        <w:snapToGrid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二、机构设置</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三、支出决算表</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四、财政拨款收入支出决算总表</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五、一般公共预算财政拨款支出决算表</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六、一般公共预算财政拨款基本支出决算明细表</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七、政府性基金预算财政拨款收入支出决算表</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八、国有资本经营预算财政拨款支出决算表</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九、财政拨款“三公”经费支出决算表</w:t>
      </w:r>
    </w:p>
    <w:p w:rsidR="00F70358" w:rsidRDefault="00D811D7">
      <w:pPr>
        <w:snapToGrid w:val="0"/>
        <w:spacing w:line="520" w:lineRule="exact"/>
        <w:rPr>
          <w:rFonts w:ascii="黑体" w:eastAsia="黑体" w:hAnsi="黑体" w:cs="黑体"/>
          <w:bCs/>
          <w:sz w:val="32"/>
          <w:szCs w:val="32"/>
        </w:rPr>
      </w:pPr>
      <w:r>
        <w:rPr>
          <w:rFonts w:ascii="黑体" w:eastAsia="黑体" w:hAnsi="黑体" w:cs="黑体" w:hint="eastAsia"/>
          <w:bCs/>
          <w:sz w:val="32"/>
          <w:szCs w:val="32"/>
        </w:rPr>
        <w:t>第三部分</w:t>
      </w:r>
      <w:r>
        <w:rPr>
          <w:rFonts w:ascii="黑体" w:eastAsia="黑体" w:hAnsi="黑体" w:cs="黑体" w:hint="eastAsia"/>
          <w:bCs/>
          <w:sz w:val="32"/>
          <w:szCs w:val="32"/>
        </w:rPr>
        <w:t xml:space="preserve"> </w:t>
      </w:r>
      <w:r>
        <w:rPr>
          <w:rFonts w:ascii="黑体" w:eastAsia="黑体" w:hAnsi="黑体" w:cs="黑体" w:hint="eastAsia"/>
          <w:bCs/>
          <w:sz w:val="32"/>
          <w:szCs w:val="32"/>
        </w:rPr>
        <w:t>部门决算情况说明</w:t>
      </w:r>
    </w:p>
    <w:p w:rsidR="00F70358" w:rsidRDefault="00D811D7">
      <w:pPr>
        <w:snapToGrid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一、收入支出决算总体情况说明</w:t>
      </w:r>
    </w:p>
    <w:p w:rsidR="00F70358" w:rsidRDefault="00D811D7">
      <w:pPr>
        <w:snapToGrid w:val="0"/>
        <w:spacing w:line="52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二、收入决算情况说明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三、支出决算情况说明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四、财政拨款收入支出决算总体情况说明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五、一般公共预算财政拨款支出决算情况说明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六、一般公共预算财政拨款基本支出决算情况说明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lastRenderedPageBreak/>
        <w:t>七、财政拨款三公经费支出决算情况说明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八、政府性基金预算收入支出决算情况</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九、关于机关运行经费支出说明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十、一般性支出情况说明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十一、关于政府采购支出说明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十二、关于国有资产占用情况说明</w:t>
      </w:r>
    </w:p>
    <w:p w:rsidR="00F70358" w:rsidRDefault="00D811D7">
      <w:pPr>
        <w:snapToGrid w:val="0"/>
        <w:spacing w:line="520" w:lineRule="exact"/>
        <w:ind w:firstLine="640"/>
        <w:rPr>
          <w:rFonts w:ascii="黑体" w:eastAsia="黑体" w:hAnsi="黑体" w:cs="黑体"/>
          <w:bCs/>
          <w:sz w:val="32"/>
          <w:szCs w:val="32"/>
        </w:rPr>
      </w:pPr>
      <w:r>
        <w:rPr>
          <w:rFonts w:ascii="黑体" w:eastAsia="黑体" w:hAnsi="黑体" w:cs="黑体" w:hint="eastAsia"/>
          <w:bCs/>
          <w:sz w:val="32"/>
          <w:szCs w:val="32"/>
        </w:rPr>
        <w:t>十三、关于</w:t>
      </w:r>
      <w:r>
        <w:rPr>
          <w:rFonts w:ascii="黑体" w:eastAsia="黑体" w:hAnsi="黑体" w:cs="黑体" w:hint="eastAsia"/>
          <w:bCs/>
          <w:sz w:val="32"/>
          <w:szCs w:val="32"/>
        </w:rPr>
        <w:t>2023</w:t>
      </w:r>
      <w:r>
        <w:rPr>
          <w:rFonts w:ascii="黑体" w:eastAsia="黑体" w:hAnsi="黑体" w:cs="黑体" w:hint="eastAsia"/>
          <w:bCs/>
          <w:sz w:val="32"/>
          <w:szCs w:val="32"/>
        </w:rPr>
        <w:t>年度预算绩效情况的说明</w:t>
      </w:r>
    </w:p>
    <w:p w:rsidR="00F70358" w:rsidRDefault="00D811D7">
      <w:pPr>
        <w:snapToGrid w:val="0"/>
        <w:spacing w:line="520" w:lineRule="exact"/>
        <w:rPr>
          <w:rFonts w:ascii="黑体" w:eastAsia="黑体" w:hAnsi="黑体" w:cs="黑体"/>
          <w:bCs/>
          <w:sz w:val="32"/>
          <w:szCs w:val="32"/>
        </w:rPr>
      </w:pPr>
      <w:r>
        <w:rPr>
          <w:rFonts w:ascii="黑体" w:eastAsia="黑体" w:hAnsi="黑体" w:cs="黑体" w:hint="eastAsia"/>
          <w:bCs/>
          <w:sz w:val="32"/>
          <w:szCs w:val="32"/>
        </w:rPr>
        <w:t>第四部门</w:t>
      </w:r>
      <w:r>
        <w:rPr>
          <w:rFonts w:ascii="黑体" w:eastAsia="黑体" w:hAnsi="黑体" w:cs="黑体" w:hint="eastAsia"/>
          <w:bCs/>
          <w:sz w:val="32"/>
          <w:szCs w:val="32"/>
        </w:rPr>
        <w:t xml:space="preserve">  </w:t>
      </w:r>
      <w:r>
        <w:rPr>
          <w:rFonts w:ascii="黑体" w:eastAsia="黑体" w:hAnsi="黑体" w:cs="黑体" w:hint="eastAsia"/>
          <w:bCs/>
          <w:sz w:val="32"/>
          <w:szCs w:val="32"/>
        </w:rPr>
        <w:t>名词解释</w:t>
      </w:r>
    </w:p>
    <w:p w:rsidR="00F70358" w:rsidRDefault="00D811D7">
      <w:pPr>
        <w:numPr>
          <w:ilvl w:val="0"/>
          <w:numId w:val="1"/>
        </w:numPr>
        <w:snapToGrid w:val="0"/>
        <w:spacing w:line="520" w:lineRule="exact"/>
        <w:rPr>
          <w:rFonts w:ascii="黑体" w:eastAsia="黑体" w:hAnsi="黑体" w:cs="黑体"/>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附件</w:t>
      </w: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rPr>
          <w:rFonts w:ascii="黑体" w:eastAsia="黑体" w:hAnsi="黑体" w:cs="黑体"/>
          <w:bCs/>
          <w:sz w:val="32"/>
          <w:szCs w:val="32"/>
        </w:rPr>
      </w:pP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lastRenderedPageBreak/>
        <w:t>第一部分</w:t>
      </w: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t>桃源县漳江垸水利管理委员会概况</w:t>
      </w:r>
    </w:p>
    <w:p w:rsidR="00F70358" w:rsidRDefault="00F70358">
      <w:pPr>
        <w:snapToGrid w:val="0"/>
        <w:spacing w:line="520" w:lineRule="exact"/>
        <w:jc w:val="left"/>
        <w:rPr>
          <w:rFonts w:ascii="黑体" w:eastAsia="黑体" w:hAnsi="黑体" w:cs="黑体"/>
          <w:bCs/>
          <w:sz w:val="32"/>
          <w:szCs w:val="32"/>
        </w:rPr>
      </w:pPr>
    </w:p>
    <w:p w:rsidR="00F70358" w:rsidRDefault="00D811D7">
      <w:pPr>
        <w:numPr>
          <w:ilvl w:val="0"/>
          <w:numId w:val="2"/>
        </w:numPr>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部门职责</w:t>
      </w:r>
    </w:p>
    <w:p w:rsidR="00F70358" w:rsidRDefault="00D811D7">
      <w:pPr>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负责桃源县城内的防洪大堤、排渍机埠及附属设施的除险加固规划、建设和养护管理。</w:t>
      </w:r>
    </w:p>
    <w:p w:rsidR="00F70358" w:rsidRDefault="00D811D7">
      <w:pPr>
        <w:ind w:firstLineChars="200" w:firstLine="640"/>
        <w:rPr>
          <w:rFonts w:ascii="仿宋" w:eastAsia="仿宋" w:hAnsi="仿宋"/>
          <w:sz w:val="32"/>
          <w:szCs w:val="32"/>
        </w:rPr>
      </w:pPr>
      <w:r>
        <w:rPr>
          <w:rFonts w:ascii="仿宋" w:eastAsia="仿宋" w:hAnsi="仿宋" w:hint="eastAsia"/>
          <w:sz w:val="32"/>
          <w:szCs w:val="32"/>
        </w:rPr>
        <w:t>（二）负责制定防汛及排渍调度方案和查险排险的应急抢险预案。</w:t>
      </w:r>
    </w:p>
    <w:p w:rsidR="00F70358" w:rsidRDefault="00D811D7">
      <w:pPr>
        <w:ind w:firstLineChars="200" w:firstLine="640"/>
        <w:rPr>
          <w:rFonts w:ascii="仿宋" w:eastAsia="仿宋" w:hAnsi="仿宋"/>
          <w:sz w:val="32"/>
          <w:szCs w:val="32"/>
        </w:rPr>
      </w:pPr>
      <w:r>
        <w:rPr>
          <w:rFonts w:ascii="仿宋" w:eastAsia="仿宋" w:hAnsi="仿宋" w:hint="eastAsia"/>
          <w:sz w:val="32"/>
          <w:szCs w:val="32"/>
        </w:rPr>
        <w:t>（三）负责县城东街、新桥、黄花井污水提升泵站的运行管理。</w:t>
      </w:r>
    </w:p>
    <w:p w:rsidR="00F70358" w:rsidRDefault="00D811D7">
      <w:pPr>
        <w:ind w:firstLineChars="200" w:firstLine="640"/>
        <w:rPr>
          <w:rFonts w:ascii="仿宋" w:eastAsia="仿宋" w:hAnsi="仿宋"/>
          <w:sz w:val="32"/>
          <w:szCs w:val="32"/>
        </w:rPr>
      </w:pPr>
      <w:r>
        <w:rPr>
          <w:rFonts w:ascii="仿宋" w:eastAsia="仿宋" w:hAnsi="仿宋" w:hint="eastAsia"/>
          <w:sz w:val="32"/>
          <w:szCs w:val="32"/>
        </w:rPr>
        <w:t>（四）负责沅水西岸风光带防洪保安、防洪墙、挡水闸口、护坡等日常维护管理、水面执法及水上漂浮物打捞等工作</w:t>
      </w:r>
    </w:p>
    <w:p w:rsidR="00F70358" w:rsidRDefault="00D811D7">
      <w:pPr>
        <w:ind w:firstLineChars="200" w:firstLine="640"/>
        <w:rPr>
          <w:rFonts w:ascii="仿宋" w:eastAsia="仿宋" w:hAnsi="仿宋"/>
          <w:sz w:val="32"/>
          <w:szCs w:val="32"/>
        </w:rPr>
      </w:pPr>
      <w:r>
        <w:rPr>
          <w:rFonts w:ascii="仿宋" w:eastAsia="仿宋" w:hAnsi="仿宋" w:hint="eastAsia"/>
          <w:sz w:val="32"/>
          <w:szCs w:val="32"/>
        </w:rPr>
        <w:t>（五）负责桃源水电站新桥补偿电排运行管理。</w:t>
      </w:r>
    </w:p>
    <w:p w:rsidR="00F70358" w:rsidRDefault="00D811D7">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六</w:t>
      </w:r>
      <w:r>
        <w:rPr>
          <w:rFonts w:ascii="仿宋" w:eastAsia="仿宋" w:hAnsi="仿宋" w:hint="eastAsia"/>
          <w:sz w:val="32"/>
          <w:szCs w:val="32"/>
        </w:rPr>
        <w:t>）完成县委、县</w:t>
      </w:r>
      <w:r>
        <w:rPr>
          <w:rFonts w:ascii="仿宋" w:eastAsia="仿宋" w:hAnsi="仿宋" w:hint="eastAsia"/>
          <w:sz w:val="32"/>
          <w:szCs w:val="32"/>
        </w:rPr>
        <w:t>人民</w:t>
      </w:r>
      <w:r>
        <w:rPr>
          <w:rFonts w:ascii="仿宋" w:eastAsia="仿宋" w:hAnsi="仿宋" w:hint="eastAsia"/>
          <w:sz w:val="32"/>
          <w:szCs w:val="32"/>
        </w:rPr>
        <w:t>政府</w:t>
      </w:r>
      <w:r>
        <w:rPr>
          <w:rFonts w:ascii="仿宋" w:eastAsia="仿宋" w:hAnsi="仿宋" w:hint="eastAsia"/>
          <w:sz w:val="32"/>
          <w:szCs w:val="32"/>
        </w:rPr>
        <w:t>、县水利局</w:t>
      </w:r>
      <w:r>
        <w:rPr>
          <w:rFonts w:ascii="仿宋" w:eastAsia="仿宋" w:hAnsi="仿宋" w:hint="eastAsia"/>
          <w:sz w:val="32"/>
          <w:szCs w:val="32"/>
        </w:rPr>
        <w:t>交办的其他</w:t>
      </w:r>
      <w:r>
        <w:rPr>
          <w:rFonts w:ascii="仿宋" w:eastAsia="仿宋" w:hAnsi="仿宋" w:hint="eastAsia"/>
          <w:sz w:val="32"/>
          <w:szCs w:val="32"/>
        </w:rPr>
        <w:t>事项</w:t>
      </w:r>
      <w:r>
        <w:rPr>
          <w:rFonts w:ascii="仿宋" w:eastAsia="仿宋" w:hAnsi="仿宋" w:hint="eastAsia"/>
          <w:sz w:val="32"/>
          <w:szCs w:val="32"/>
        </w:rPr>
        <w:t>。</w:t>
      </w:r>
    </w:p>
    <w:p w:rsidR="00F70358" w:rsidRDefault="00D811D7">
      <w:pPr>
        <w:snapToGrid w:val="0"/>
        <w:jc w:val="left"/>
        <w:rPr>
          <w:rFonts w:ascii="黑体" w:eastAsia="黑体" w:hAnsi="黑体" w:cs="黑体"/>
          <w:bCs/>
          <w:sz w:val="32"/>
          <w:szCs w:val="32"/>
        </w:rPr>
      </w:pPr>
      <w:r>
        <w:rPr>
          <w:rFonts w:ascii="黑体" w:eastAsia="黑体" w:hAnsi="黑体" w:cs="黑体" w:hint="eastAsia"/>
          <w:bCs/>
          <w:sz w:val="32"/>
          <w:szCs w:val="32"/>
        </w:rPr>
        <w:t>二、机构设置及决算单位构成</w:t>
      </w:r>
    </w:p>
    <w:p w:rsidR="00F70358" w:rsidRDefault="00D811D7">
      <w:pPr>
        <w:ind w:firstLineChars="200" w:firstLine="640"/>
        <w:rPr>
          <w:rFonts w:ascii="仿宋" w:eastAsia="仿宋" w:hAnsi="仿宋"/>
          <w:sz w:val="32"/>
          <w:szCs w:val="32"/>
        </w:rPr>
      </w:pPr>
      <w:r>
        <w:rPr>
          <w:rFonts w:ascii="黑体" w:eastAsia="黑体" w:hAnsi="黑体" w:cs="黑体" w:hint="eastAsia"/>
          <w:bCs/>
          <w:sz w:val="32"/>
          <w:szCs w:val="32"/>
        </w:rPr>
        <w:t>（一）内设机构设置。</w:t>
      </w:r>
      <w:r>
        <w:rPr>
          <w:rFonts w:ascii="仿宋_GB2312" w:eastAsia="仿宋_GB2312" w:hAnsi="仿宋" w:hint="eastAsia"/>
          <w:sz w:val="32"/>
          <w:szCs w:val="32"/>
        </w:rPr>
        <w:t>桃源县漳江垸水利管理委员会内设机构包括：</w:t>
      </w:r>
      <w:r>
        <w:rPr>
          <w:rFonts w:ascii="仿宋_GB2312" w:eastAsia="仿宋_GB2312" w:hAnsi="仿宋" w:hint="eastAsia"/>
          <w:sz w:val="32"/>
          <w:szCs w:val="32"/>
        </w:rPr>
        <w:t>办公室、组织人事股、财务股、水利股、水政股、机电股、防洪墙绿化卫生管理股</w:t>
      </w:r>
      <w:r>
        <w:rPr>
          <w:rFonts w:ascii="仿宋" w:eastAsia="仿宋" w:hAnsi="仿宋" w:hint="eastAsia"/>
          <w:sz w:val="32"/>
          <w:szCs w:val="32"/>
        </w:rPr>
        <w:t>。</w:t>
      </w:r>
    </w:p>
    <w:p w:rsidR="00F70358" w:rsidRDefault="00D811D7">
      <w:pPr>
        <w:ind w:firstLineChars="200" w:firstLine="640"/>
        <w:rPr>
          <w:rFonts w:ascii="仿宋" w:eastAsia="仿宋" w:hAnsi="仿宋" w:cs="仿宋"/>
          <w:sz w:val="32"/>
          <w:szCs w:val="32"/>
        </w:rPr>
      </w:pPr>
      <w:r>
        <w:rPr>
          <w:rFonts w:ascii="黑体" w:eastAsia="黑体" w:hAnsi="黑体" w:cs="黑体" w:hint="eastAsia"/>
          <w:sz w:val="32"/>
          <w:szCs w:val="32"/>
        </w:rPr>
        <w:t>（二）决算单位构成。</w:t>
      </w:r>
      <w:r>
        <w:rPr>
          <w:rFonts w:ascii="仿宋" w:eastAsia="仿宋" w:hAnsi="仿宋" w:cs="仿宋" w:hint="eastAsia"/>
          <w:sz w:val="32"/>
          <w:szCs w:val="32"/>
        </w:rPr>
        <w:t>桃源县漳江垸水利管理委员会</w:t>
      </w:r>
      <w:r>
        <w:rPr>
          <w:rFonts w:ascii="仿宋" w:eastAsia="仿宋" w:hAnsi="仿宋" w:cs="仿宋" w:hint="eastAsia"/>
          <w:sz w:val="32"/>
          <w:szCs w:val="32"/>
        </w:rPr>
        <w:t>2023</w:t>
      </w:r>
      <w:r>
        <w:rPr>
          <w:rFonts w:ascii="仿宋" w:eastAsia="仿宋" w:hAnsi="仿宋" w:cs="仿宋" w:hint="eastAsia"/>
          <w:sz w:val="32"/>
          <w:szCs w:val="32"/>
        </w:rPr>
        <w:t>年部门决算汇总公开单位构成包括：桃源县漳江垸水利管理委员会本级。</w:t>
      </w: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lastRenderedPageBreak/>
        <w:t>第二部分</w:t>
      </w:r>
    </w:p>
    <w:p w:rsidR="00F70358" w:rsidRDefault="00D811D7">
      <w:pPr>
        <w:jc w:val="center"/>
        <w:rPr>
          <w:rFonts w:ascii="仿宋" w:eastAsia="仿宋" w:hAnsi="仿宋" w:cs="仿宋"/>
          <w:sz w:val="32"/>
          <w:szCs w:val="32"/>
        </w:rPr>
      </w:pPr>
      <w:r>
        <w:rPr>
          <w:rFonts w:ascii="黑体" w:eastAsia="黑体" w:hAnsi="黑体" w:cs="黑体" w:hint="eastAsia"/>
          <w:bCs/>
          <w:sz w:val="32"/>
          <w:szCs w:val="32"/>
        </w:rPr>
        <w:t>部门决算表</w:t>
      </w: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pPr>
    </w:p>
    <w:p w:rsidR="00F70358" w:rsidRDefault="00F70358">
      <w:pPr>
        <w:snapToGrid w:val="0"/>
        <w:jc w:val="left"/>
        <w:rPr>
          <w:rFonts w:ascii="黑体" w:eastAsia="黑体" w:hAnsi="黑体" w:cs="黑体"/>
          <w:bCs/>
          <w:sz w:val="32"/>
          <w:szCs w:val="32"/>
        </w:rPr>
        <w:sectPr w:rsidR="00F70358">
          <w:footerReference w:type="default" r:id="rId8"/>
          <w:pgSz w:w="11906" w:h="16838"/>
          <w:pgMar w:top="1440" w:right="1800" w:bottom="1440" w:left="1800" w:header="851" w:footer="992" w:gutter="0"/>
          <w:cols w:space="720"/>
          <w:docGrid w:type="lines" w:linePitch="312"/>
        </w:sect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lastRenderedPageBreak/>
        <w:t>收入支出决算总表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01</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70" w:type="dxa"/>
        <w:tblCellMar>
          <w:left w:w="0" w:type="dxa"/>
          <w:right w:w="0" w:type="dxa"/>
        </w:tblCellMar>
        <w:tblLook w:val="04A0"/>
      </w:tblPr>
      <w:tblGrid>
        <w:gridCol w:w="5302"/>
        <w:gridCol w:w="702"/>
        <w:gridCol w:w="1031"/>
        <w:gridCol w:w="5218"/>
        <w:gridCol w:w="736"/>
        <w:gridCol w:w="1081"/>
      </w:tblGrid>
      <w:tr w:rsidR="00F70358">
        <w:trPr>
          <w:trHeight w:val="300"/>
        </w:trPr>
        <w:tc>
          <w:tcPr>
            <w:tcW w:w="70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收入</w:t>
            </w:r>
          </w:p>
        </w:tc>
        <w:tc>
          <w:tcPr>
            <w:tcW w:w="70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支出</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601.36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三、国有资本经营预算财政拨款收入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四、上级补助收入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六、经营收入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八、其他收入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509.25</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十四、资源勘探工业信息等支出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二十一、国有资本经营预算支出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二十二、灾害防治及应急管理支出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二十三、其他支出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二十四、债务还本支出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二十五、债务付息支出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二十六、抗疫特别国债安排的支出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本年收入合计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本年支出合计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使用非财政拨款结余和专用结余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结余分配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r>
      <w:tr w:rsidR="00F70358">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w:t>
      </w:r>
      <w:r>
        <w:rPr>
          <w:rFonts w:asciiTheme="majorEastAsia" w:eastAsiaTheme="majorEastAsia" w:hAnsiTheme="majorEastAsia" w:cstheme="majorEastAsia" w:hint="eastAsia"/>
          <w:bCs/>
          <w:sz w:val="22"/>
          <w:szCs w:val="22"/>
        </w:rPr>
        <w:t>1.</w:t>
      </w:r>
      <w:r>
        <w:rPr>
          <w:rFonts w:asciiTheme="majorEastAsia" w:eastAsiaTheme="majorEastAsia" w:hAnsiTheme="majorEastAsia" w:cstheme="majorEastAsia" w:hint="eastAsia"/>
          <w:bCs/>
          <w:sz w:val="22"/>
          <w:szCs w:val="22"/>
        </w:rPr>
        <w:t>本表反映部门本年度的总收支和年末结转结余情况。</w:t>
      </w:r>
    </w:p>
    <w:p w:rsidR="00F70358" w:rsidRDefault="00D811D7">
      <w:pPr>
        <w:snapToGrid w:val="0"/>
        <w:spacing w:line="520" w:lineRule="exact"/>
        <w:ind w:firstLineChars="200" w:firstLine="440"/>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2.</w:t>
      </w:r>
      <w:r>
        <w:rPr>
          <w:rFonts w:asciiTheme="majorEastAsia" w:eastAsiaTheme="majorEastAsia" w:hAnsiTheme="majorEastAsia" w:cstheme="majorEastAsia" w:hint="eastAsia"/>
          <w:bCs/>
          <w:sz w:val="22"/>
          <w:szCs w:val="22"/>
        </w:rPr>
        <w:t>本套报表金额单位转换市可能存在尾数误差。</w:t>
      </w: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收入决算表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02</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75" w:type="dxa"/>
        <w:tblLayout w:type="fixed"/>
        <w:tblCellMar>
          <w:left w:w="0" w:type="dxa"/>
          <w:right w:w="0" w:type="dxa"/>
        </w:tblCellMar>
        <w:tblLook w:val="04A0"/>
      </w:tblPr>
      <w:tblGrid>
        <w:gridCol w:w="990"/>
        <w:gridCol w:w="3705"/>
        <w:gridCol w:w="1490"/>
        <w:gridCol w:w="1410"/>
        <w:gridCol w:w="1395"/>
        <w:gridCol w:w="1290"/>
        <w:gridCol w:w="1125"/>
        <w:gridCol w:w="1350"/>
        <w:gridCol w:w="1320"/>
      </w:tblGrid>
      <w:tr w:rsidR="00F70358">
        <w:trPr>
          <w:trHeight w:val="30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4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本年收入合计</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财政拨款收入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上级补助收入</w:t>
            </w: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事业收入</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经营收入</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附属单位</w:t>
            </w:r>
          </w:p>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上缴收入</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其他收入</w:t>
            </w:r>
          </w:p>
        </w:tc>
      </w:tr>
      <w:tr w:rsidR="00F70358">
        <w:trPr>
          <w:trHeight w:val="31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科目代码</w:t>
            </w:r>
          </w:p>
        </w:tc>
        <w:tc>
          <w:tcPr>
            <w:tcW w:w="37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37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37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3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0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2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r>
      <w:tr w:rsidR="00F70358">
        <w:trPr>
          <w:trHeight w:val="30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619.87</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619.87</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2080505</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机关事业单位基本养老保险缴费支出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2130399</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其他水利支出</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108.54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108.54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2130301</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行政运行</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351.20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351.20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行政单位医疗</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2121304</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城市防洪</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2130306</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水利工程运行与维护</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44.51</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44.51</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住房公积金</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2130314</w:t>
            </w:r>
          </w:p>
        </w:tc>
        <w:tc>
          <w:tcPr>
            <w:tcW w:w="37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防汛</w:t>
            </w:r>
          </w:p>
        </w:tc>
        <w:tc>
          <w:tcPr>
            <w:tcW w:w="14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注：本表反映部门年度取得的各项收入情况。</w:t>
      </w:r>
    </w:p>
    <w:p w:rsidR="00F70358" w:rsidRDefault="00F70358">
      <w:pPr>
        <w:snapToGrid w:val="0"/>
        <w:jc w:val="left"/>
        <w:rPr>
          <w:rFonts w:asciiTheme="majorEastAsia" w:eastAsiaTheme="majorEastAsia" w:hAnsiTheme="majorEastAsia" w:cstheme="majorEastAsia"/>
          <w:bCs/>
          <w:sz w:val="22"/>
          <w:szCs w:val="22"/>
        </w:rPr>
      </w:pP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支出决算表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03</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60" w:type="dxa"/>
        <w:tblLayout w:type="fixed"/>
        <w:tblCellMar>
          <w:left w:w="0" w:type="dxa"/>
          <w:right w:w="0" w:type="dxa"/>
        </w:tblCellMar>
        <w:tblLook w:val="04A0"/>
      </w:tblPr>
      <w:tblGrid>
        <w:gridCol w:w="990"/>
        <w:gridCol w:w="3705"/>
        <w:gridCol w:w="1505"/>
        <w:gridCol w:w="1665"/>
        <w:gridCol w:w="1545"/>
        <w:gridCol w:w="1575"/>
        <w:gridCol w:w="1410"/>
        <w:gridCol w:w="1665"/>
      </w:tblGrid>
      <w:tr w:rsidR="00F70358" w:rsidRPr="0001126D">
        <w:trPr>
          <w:trHeight w:val="27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F1F1F1"/>
            <w:noWrap/>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项目</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本年支出合计</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基本支出</w:t>
            </w:r>
          </w:p>
        </w:tc>
        <w:tc>
          <w:tcPr>
            <w:tcW w:w="1545"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项目支出</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上缴上级支出</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经营支出</w:t>
            </w:r>
          </w:p>
        </w:tc>
        <w:tc>
          <w:tcPr>
            <w:tcW w:w="1665"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kern w:val="0"/>
                <w:sz w:val="22"/>
                <w:szCs w:val="22"/>
                <w:lang/>
              </w:rPr>
            </w:pPr>
            <w:r w:rsidRPr="0001126D">
              <w:rPr>
                <w:rFonts w:ascii="宋体" w:hAnsi="宋体" w:cs="宋体" w:hint="eastAsia"/>
                <w:color w:val="000000"/>
                <w:kern w:val="0"/>
                <w:sz w:val="22"/>
                <w:szCs w:val="22"/>
                <w:lang/>
              </w:rPr>
              <w:t>对附属单位</w:t>
            </w:r>
          </w:p>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补助支出</w:t>
            </w:r>
          </w:p>
        </w:tc>
      </w:tr>
      <w:tr w:rsidR="00F70358" w:rsidRPr="0001126D">
        <w:trPr>
          <w:trHeight w:val="31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科目代码</w:t>
            </w:r>
          </w:p>
        </w:tc>
        <w:tc>
          <w:tcPr>
            <w:tcW w:w="3705" w:type="dxa"/>
            <w:vMerge w:val="restart"/>
            <w:tcBorders>
              <w:top w:val="single" w:sz="4" w:space="0" w:color="000000"/>
              <w:left w:val="single" w:sz="4" w:space="0" w:color="000000"/>
              <w:bottom w:val="single" w:sz="4" w:space="0" w:color="000000"/>
              <w:right w:val="single" w:sz="4" w:space="0" w:color="000000"/>
            </w:tcBorders>
            <w:shd w:val="clear" w:color="auto" w:fill="F1F1F1"/>
            <w:noWrap/>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科目名称</w:t>
            </w:r>
          </w:p>
        </w:tc>
        <w:tc>
          <w:tcPr>
            <w:tcW w:w="150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r>
      <w:tr w:rsidR="00F70358" w:rsidRPr="0001126D">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3705" w:type="dxa"/>
            <w:vMerge/>
            <w:tcBorders>
              <w:top w:val="single" w:sz="4" w:space="0" w:color="000000"/>
              <w:left w:val="single" w:sz="4" w:space="0" w:color="000000"/>
              <w:bottom w:val="single" w:sz="4" w:space="0" w:color="000000"/>
              <w:right w:val="single" w:sz="4" w:space="0" w:color="000000"/>
            </w:tcBorders>
            <w:shd w:val="clear" w:color="auto" w:fill="F1F1F1"/>
            <w:noWrap/>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r>
      <w:tr w:rsidR="00F70358" w:rsidRPr="0001126D">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3705" w:type="dxa"/>
            <w:vMerge/>
            <w:tcBorders>
              <w:top w:val="single" w:sz="4" w:space="0" w:color="000000"/>
              <w:left w:val="single" w:sz="4" w:space="0" w:color="000000"/>
              <w:bottom w:val="single" w:sz="4" w:space="0" w:color="000000"/>
              <w:right w:val="single" w:sz="4" w:space="0" w:color="000000"/>
            </w:tcBorders>
            <w:shd w:val="clear" w:color="auto" w:fill="F1F1F1"/>
            <w:noWrap/>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4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410"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c>
          <w:tcPr>
            <w:tcW w:w="1665" w:type="dxa"/>
            <w:vMerge/>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F70358">
            <w:pPr>
              <w:jc w:val="center"/>
              <w:rPr>
                <w:rFonts w:ascii="宋体" w:hAnsi="宋体" w:cs="宋体"/>
                <w:color w:val="000000"/>
                <w:sz w:val="22"/>
                <w:szCs w:val="22"/>
              </w:rPr>
            </w:pPr>
          </w:p>
        </w:tc>
      </w:tr>
      <w:tr w:rsidR="00F70358" w:rsidRPr="0001126D">
        <w:trPr>
          <w:trHeight w:val="27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F1F1F1"/>
            <w:noWrap/>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栏次</w:t>
            </w:r>
          </w:p>
        </w:tc>
        <w:tc>
          <w:tcPr>
            <w:tcW w:w="1505"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1</w:t>
            </w:r>
          </w:p>
        </w:tc>
        <w:tc>
          <w:tcPr>
            <w:tcW w:w="1665"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2</w:t>
            </w:r>
          </w:p>
        </w:tc>
        <w:tc>
          <w:tcPr>
            <w:tcW w:w="1545"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3</w:t>
            </w:r>
          </w:p>
        </w:tc>
        <w:tc>
          <w:tcPr>
            <w:tcW w:w="1575"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4</w:t>
            </w:r>
          </w:p>
        </w:tc>
        <w:tc>
          <w:tcPr>
            <w:tcW w:w="1410"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5</w:t>
            </w:r>
          </w:p>
        </w:tc>
        <w:tc>
          <w:tcPr>
            <w:tcW w:w="1665" w:type="dxa"/>
            <w:tcBorders>
              <w:top w:val="single" w:sz="4" w:space="0" w:color="000000"/>
              <w:left w:val="single" w:sz="4" w:space="0" w:color="000000"/>
              <w:bottom w:val="single" w:sz="4" w:space="0" w:color="000000"/>
              <w:right w:val="single" w:sz="4" w:space="0" w:color="000000"/>
            </w:tcBorders>
            <w:shd w:val="clear" w:color="auto" w:fill="F1F1F1"/>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6</w:t>
            </w:r>
          </w:p>
        </w:tc>
      </w:tr>
      <w:tr w:rsidR="00F70358" w:rsidRPr="0001126D">
        <w:trPr>
          <w:trHeight w:val="27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F1F1F1"/>
            <w:noWrap/>
            <w:tcMar>
              <w:top w:w="15" w:type="dxa"/>
              <w:left w:w="15" w:type="dxa"/>
              <w:right w:w="15" w:type="dxa"/>
            </w:tcMar>
            <w:vAlign w:val="center"/>
          </w:tcPr>
          <w:p w:rsidR="00F70358" w:rsidRPr="0001126D" w:rsidRDefault="00D811D7">
            <w:pPr>
              <w:widowControl/>
              <w:jc w:val="center"/>
              <w:textAlignment w:val="center"/>
              <w:rPr>
                <w:rFonts w:ascii="宋体" w:hAnsi="宋体" w:cs="宋体"/>
                <w:color w:val="000000"/>
                <w:sz w:val="22"/>
                <w:szCs w:val="22"/>
              </w:rPr>
            </w:pPr>
            <w:r w:rsidRPr="0001126D">
              <w:rPr>
                <w:rFonts w:ascii="宋体" w:hAnsi="宋体" w:cs="宋体" w:hint="eastAsia"/>
                <w:color w:val="000000"/>
                <w:kern w:val="0"/>
                <w:sz w:val="22"/>
                <w:szCs w:val="22"/>
                <w:lang/>
              </w:rPr>
              <w:t>合计</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b/>
                <w:color w:val="000000"/>
                <w:sz w:val="22"/>
                <w:szCs w:val="22"/>
              </w:rPr>
            </w:pPr>
            <w:r w:rsidRPr="0001126D">
              <w:rPr>
                <w:rFonts w:ascii="宋体" w:hAnsi="宋体" w:cs="宋体" w:hint="eastAsia"/>
                <w:b/>
                <w:color w:val="000000"/>
                <w:kern w:val="0"/>
                <w:sz w:val="22"/>
                <w:szCs w:val="22"/>
                <w:lang/>
              </w:rPr>
              <w:t>619.87</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b/>
                <w:color w:val="000000"/>
                <w:sz w:val="22"/>
                <w:szCs w:val="22"/>
              </w:rPr>
            </w:pPr>
            <w:r w:rsidRPr="0001126D">
              <w:rPr>
                <w:rFonts w:ascii="宋体" w:hAnsi="宋体" w:cs="宋体" w:hint="eastAsia"/>
                <w:b/>
                <w:color w:val="000000"/>
                <w:kern w:val="0"/>
                <w:sz w:val="22"/>
                <w:szCs w:val="22"/>
                <w:lang/>
              </w:rPr>
              <w:t>443.32</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b/>
                <w:color w:val="000000"/>
                <w:sz w:val="22"/>
                <w:szCs w:val="22"/>
              </w:rPr>
            </w:pPr>
            <w:r w:rsidRPr="0001126D">
              <w:rPr>
                <w:rFonts w:ascii="宋体" w:hAnsi="宋体" w:cs="宋体" w:hint="eastAsia"/>
                <w:b/>
                <w:color w:val="000000"/>
                <w:kern w:val="0"/>
                <w:sz w:val="22"/>
                <w:szCs w:val="22"/>
                <w:lang/>
              </w:rPr>
              <w:t>176.55</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b/>
                <w:color w:val="000000"/>
                <w:sz w:val="22"/>
                <w:szCs w:val="22"/>
              </w:rPr>
            </w:pPr>
            <w:r w:rsidRPr="0001126D">
              <w:rPr>
                <w:rFonts w:ascii="宋体" w:hAnsi="宋体" w:cs="宋体" w:hint="eastAsia"/>
                <w:b/>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b/>
                <w:color w:val="000000"/>
                <w:sz w:val="22"/>
                <w:szCs w:val="22"/>
              </w:rPr>
            </w:pPr>
            <w:r w:rsidRPr="0001126D">
              <w:rPr>
                <w:rFonts w:ascii="宋体" w:hAnsi="宋体" w:cs="宋体" w:hint="eastAsia"/>
                <w:b/>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b/>
                <w:color w:val="000000"/>
                <w:sz w:val="22"/>
                <w:szCs w:val="22"/>
              </w:rPr>
            </w:pPr>
            <w:r w:rsidRPr="0001126D">
              <w:rPr>
                <w:rFonts w:ascii="宋体" w:hAnsi="宋体" w:cs="宋体" w:hint="eastAsia"/>
                <w:b/>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2080505</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机关事业单位基本养老保险缴费支出</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44.19</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44.19</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2130301</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行政运行</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351.20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351.20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2130399</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其他水利支出</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108.54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108.54</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2130306</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水利工程运行与维护</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44.51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44.51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2101101</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行政单位医疗</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19.54</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19.54</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lastRenderedPageBreak/>
              <w:t>2121304</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城市防洪</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18.51</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18.51</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rsidRPr="0001126D">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2210201</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住房公积金</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28.38</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28.38</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r w:rsidR="00F70358">
        <w:trPr>
          <w:trHeight w:val="270"/>
        </w:trPr>
        <w:tc>
          <w:tcPr>
            <w:tcW w:w="99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2130314</w:t>
            </w:r>
          </w:p>
        </w:tc>
        <w:tc>
          <w:tcPr>
            <w:tcW w:w="37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left"/>
              <w:textAlignment w:val="center"/>
              <w:rPr>
                <w:rFonts w:ascii="宋体" w:hAnsi="宋体" w:cs="宋体"/>
                <w:color w:val="000000"/>
                <w:sz w:val="22"/>
                <w:szCs w:val="22"/>
              </w:rPr>
            </w:pPr>
            <w:r w:rsidRPr="0001126D">
              <w:rPr>
                <w:rFonts w:ascii="宋体" w:hAnsi="宋体" w:cs="宋体" w:hint="eastAsia"/>
                <w:color w:val="000000"/>
                <w:kern w:val="0"/>
                <w:sz w:val="22"/>
                <w:szCs w:val="22"/>
                <w:lang/>
              </w:rPr>
              <w:t>防汛</w:t>
            </w:r>
          </w:p>
        </w:tc>
        <w:tc>
          <w:tcPr>
            <w:tcW w:w="150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5.00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54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5.00</w:t>
            </w:r>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Pr="0001126D"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c>
          <w:tcPr>
            <w:tcW w:w="166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sidRPr="0001126D">
              <w:rPr>
                <w:rFonts w:ascii="宋体" w:hAnsi="宋体" w:cs="宋体" w:hint="eastAsia"/>
                <w:color w:val="000000"/>
                <w:kern w:val="0"/>
                <w:sz w:val="22"/>
                <w:szCs w:val="22"/>
                <w:lang/>
              </w:rPr>
              <w:t>0.00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注：本表反映部门本年度项支出情况。</w:t>
      </w:r>
    </w:p>
    <w:p w:rsidR="00F70358" w:rsidRDefault="00F70358">
      <w:pPr>
        <w:snapToGrid w:val="0"/>
        <w:jc w:val="left"/>
        <w:rPr>
          <w:rFonts w:asciiTheme="majorEastAsia" w:eastAsiaTheme="majorEastAsia" w:hAnsiTheme="majorEastAsia" w:cstheme="majorEastAsia"/>
          <w:bCs/>
          <w:sz w:val="22"/>
          <w:szCs w:val="22"/>
        </w:rPr>
      </w:pP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财政拨款收入支出决算总表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04</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45" w:type="dxa"/>
        <w:tblLayout w:type="fixed"/>
        <w:tblCellMar>
          <w:left w:w="0" w:type="dxa"/>
          <w:right w:w="0" w:type="dxa"/>
        </w:tblCellMar>
        <w:tblLook w:val="04A0"/>
      </w:tblPr>
      <w:tblGrid>
        <w:gridCol w:w="3150"/>
        <w:gridCol w:w="330"/>
        <w:gridCol w:w="1020"/>
        <w:gridCol w:w="3245"/>
        <w:gridCol w:w="885"/>
        <w:gridCol w:w="1035"/>
        <w:gridCol w:w="1455"/>
        <w:gridCol w:w="1485"/>
        <w:gridCol w:w="1440"/>
      </w:tblGrid>
      <w:tr w:rsidR="00F70358">
        <w:trPr>
          <w:trHeight w:val="270"/>
        </w:trPr>
        <w:tc>
          <w:tcPr>
            <w:tcW w:w="450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收</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入</w:t>
            </w:r>
          </w:p>
        </w:tc>
        <w:tc>
          <w:tcPr>
            <w:tcW w:w="954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支</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出</w:t>
            </w:r>
          </w:p>
        </w:tc>
      </w:tr>
      <w:tr w:rsidR="00F70358">
        <w:trPr>
          <w:trHeight w:val="312"/>
        </w:trPr>
        <w:tc>
          <w:tcPr>
            <w:tcW w:w="31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3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金额</w:t>
            </w:r>
          </w:p>
        </w:tc>
        <w:tc>
          <w:tcPr>
            <w:tcW w:w="3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行次</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4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一般公共预算财政拨款</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政府性基金预算财政拨款</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国有资本经营预算财政拨款</w:t>
            </w:r>
          </w:p>
        </w:tc>
      </w:tr>
      <w:tr w:rsidR="00F70358">
        <w:trPr>
          <w:trHeight w:val="312"/>
        </w:trPr>
        <w:tc>
          <w:tcPr>
            <w:tcW w:w="31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3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3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一、一般公共预算财政拨款</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601.36</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一、一般公共服务支出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二、政府性基金预算财政拨款</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二、外交支出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三、国有资本经营预算财政拨款</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三、国防支出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四、公共安全支出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五、教育支出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六、科学技术支出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38</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七、文化旅游体育与传媒支出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八、社会保障和就业支出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九、卫生健康支出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十、节能环保支出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十一、城乡社区支出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十二、农林水支出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509.25</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509.25</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十三、交通运输支出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十四、资源勘探工业信息等支出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十五、商业服务业等支出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十六、金融支出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48</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十七、援助其他地区支出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十八、自然资源海洋气象等支出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十九、住房保障支出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二十、粮油物资储备支出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二十一、国有资本经营预算支出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二十二、灾害防治及应急管理支出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23</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二十三、其他支出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55</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b/>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24</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二十四、债务还本支出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56</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25</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二十五、债务付息支出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57</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0"/>
                <w:szCs w:val="20"/>
              </w:rPr>
            </w:pP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26</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二十六、抗疫特别国债安排的支出</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58</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本年收入合计</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27</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本年支出合计</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59</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601.36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年初财政拨款结转和结余</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28</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年末财政拨款结转和结余</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60</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一般公共预算财政拨款</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29</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61</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政府性基金预算财政拨款</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62</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国有资本经营预算财政拨款</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31</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63</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r>
      <w:tr w:rsidR="00F70358">
        <w:trPr>
          <w:trHeight w:val="270"/>
        </w:trPr>
        <w:tc>
          <w:tcPr>
            <w:tcW w:w="31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3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32</w:t>
            </w:r>
          </w:p>
        </w:tc>
        <w:tc>
          <w:tcPr>
            <w:tcW w:w="1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c>
          <w:tcPr>
            <w:tcW w:w="3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总计</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64</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619.87</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601.36</w:t>
            </w:r>
          </w:p>
        </w:tc>
        <w:tc>
          <w:tcPr>
            <w:tcW w:w="14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注：本表反映部门年度一般公共预算财政拨款、政府性基金预算财政拨款和国有资本经营预算财政拨款的总收支和年末结转结余情况。</w:t>
      </w:r>
    </w:p>
    <w:p w:rsidR="00F70358" w:rsidRDefault="00F70358">
      <w:pPr>
        <w:snapToGrid w:val="0"/>
        <w:jc w:val="left"/>
        <w:rPr>
          <w:rFonts w:asciiTheme="majorEastAsia" w:eastAsiaTheme="majorEastAsia" w:hAnsiTheme="majorEastAsia" w:cstheme="majorEastAsia"/>
          <w:bCs/>
          <w:sz w:val="22"/>
          <w:szCs w:val="22"/>
        </w:rPr>
      </w:pP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一般公共预算财政拨款支出决算表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lastRenderedPageBreak/>
        <w:t>公开</w:t>
      </w:r>
      <w:r>
        <w:rPr>
          <w:rFonts w:asciiTheme="majorEastAsia" w:eastAsiaTheme="majorEastAsia" w:hAnsiTheme="majorEastAsia" w:cstheme="majorEastAsia" w:hint="eastAsia"/>
          <w:bCs/>
          <w:sz w:val="22"/>
          <w:szCs w:val="22"/>
        </w:rPr>
        <w:t>05</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45" w:type="dxa"/>
        <w:tblLayout w:type="fixed"/>
        <w:tblCellMar>
          <w:left w:w="0" w:type="dxa"/>
          <w:right w:w="0" w:type="dxa"/>
        </w:tblCellMar>
        <w:tblLook w:val="04A0"/>
      </w:tblPr>
      <w:tblGrid>
        <w:gridCol w:w="990"/>
        <w:gridCol w:w="4610"/>
        <w:gridCol w:w="2970"/>
        <w:gridCol w:w="2625"/>
        <w:gridCol w:w="2850"/>
      </w:tblGrid>
      <w:tr w:rsidR="00F70358">
        <w:trPr>
          <w:trHeight w:val="300"/>
        </w:trPr>
        <w:tc>
          <w:tcPr>
            <w:tcW w:w="56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84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w:t>
            </w:r>
          </w:p>
        </w:tc>
      </w:tr>
      <w:tr w:rsidR="00F70358">
        <w:trPr>
          <w:trHeight w:val="31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科目代码</w:t>
            </w:r>
          </w:p>
        </w:tc>
        <w:tc>
          <w:tcPr>
            <w:tcW w:w="461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26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46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461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9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6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8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00"/>
        </w:trPr>
        <w:tc>
          <w:tcPr>
            <w:tcW w:w="56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r>
      <w:tr w:rsidR="00F70358">
        <w:trPr>
          <w:trHeight w:val="300"/>
        </w:trPr>
        <w:tc>
          <w:tcPr>
            <w:tcW w:w="560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601.36</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443.32</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158.04</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2130301</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行政运行</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351.20</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351.20</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2130306</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水利工程运行与维护</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44.51</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44.51</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机关事业单位基本养老保险缴费支出</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2130399</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其他水利支出</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108.54</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108.54</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行政单位医疗</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住房公积金</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2130314</w:t>
            </w:r>
          </w:p>
        </w:tc>
        <w:tc>
          <w:tcPr>
            <w:tcW w:w="46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防汛</w:t>
            </w:r>
          </w:p>
        </w:tc>
        <w:tc>
          <w:tcPr>
            <w:tcW w:w="29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w:t>
            </w:r>
          </w:p>
        </w:tc>
        <w:tc>
          <w:tcPr>
            <w:tcW w:w="26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2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5.00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注：本表反映部门本年度一般公共预算财政拨款支出情况。</w:t>
      </w: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一般公共预算财政拨款基本支出决算明细表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06</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30" w:type="dxa"/>
        <w:tblCellMar>
          <w:left w:w="0" w:type="dxa"/>
          <w:right w:w="0" w:type="dxa"/>
        </w:tblCellMar>
        <w:tblLook w:val="04A0"/>
      </w:tblPr>
      <w:tblGrid>
        <w:gridCol w:w="900"/>
        <w:gridCol w:w="2400"/>
        <w:gridCol w:w="1035"/>
        <w:gridCol w:w="900"/>
        <w:gridCol w:w="2550"/>
        <w:gridCol w:w="810"/>
        <w:gridCol w:w="900"/>
        <w:gridCol w:w="3480"/>
        <w:gridCol w:w="1055"/>
      </w:tblGrid>
      <w:tr w:rsidR="00F70358">
        <w:trPr>
          <w:trHeight w:val="270"/>
        </w:trPr>
        <w:tc>
          <w:tcPr>
            <w:tcW w:w="433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人员经费</w:t>
            </w:r>
          </w:p>
        </w:tc>
        <w:tc>
          <w:tcPr>
            <w:tcW w:w="9695"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公用经费</w:t>
            </w:r>
          </w:p>
        </w:tc>
      </w:tr>
      <w:tr w:rsidR="00F70358">
        <w:trPr>
          <w:trHeight w:val="312"/>
        </w:trPr>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代码</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决算数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代码</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决算数</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w:t>
            </w: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代码</w:t>
            </w:r>
          </w:p>
        </w:tc>
        <w:tc>
          <w:tcPr>
            <w:tcW w:w="34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决算数</w:t>
            </w:r>
          </w:p>
        </w:tc>
      </w:tr>
      <w:tr w:rsidR="00F70358">
        <w:trPr>
          <w:trHeight w:val="312"/>
        </w:trPr>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34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0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债务利息及费用支出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157.68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国内债务付息</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30102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印刷费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30702</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国外债务付息</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奖金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45.62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咨询费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资本性支出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30106</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伙食补助费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15.77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手续费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房屋建筑物购建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30107</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131.81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31002</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办公设备购置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30108</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31003</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专用设备购置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30109</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职业年金缴费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邮电费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31005</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基础设施建设</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19.54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取暖费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31006</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大型修缮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公务员医疗补助缴费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物业管理费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31007</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信息网络及软件购置更新</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差旅费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31008</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物资储备</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28.38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因公出国（境）费用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31009</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土地补偿</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30114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医疗费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维修（护）费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31010</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安置补助</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30199</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租赁费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地上附着物和青苗补偿</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会议费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31012</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拆迁补偿</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离休费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培训费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31013</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公务用车购置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30302</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退休费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公务接待费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31019</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其他交通工具购置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30303</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退职（役）费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专用材料费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31021</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文物和陈列品购置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30304</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抚恤金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被装购置费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31022</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无形资产购置</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30305</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专用燃料费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31099</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其他资本性支出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30306</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救济费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劳务费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其他支出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30307</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医疗费补助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委托业务费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39907</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国家赔偿费用支出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30308</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助学金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工会经费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39908</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对民间非营利组织和群众性自治组织补贴</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30309</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奖励金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福利费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39909</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经常性赠与</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30310</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个人农业生产补贴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公务用车运行维护费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39910</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资本性赠与</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30311</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代缴社会保险费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39999</w:t>
            </w: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其他支出</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r w:rsidR="00F70358">
        <w:trPr>
          <w:trHeight w:val="54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30399</w:t>
            </w: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税金及附加费用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r>
      <w:tr w:rsidR="00F70358">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30299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其他商品和服务支出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3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left"/>
              <w:rPr>
                <w:rFonts w:ascii="宋体" w:hAnsi="宋体" w:cs="宋体"/>
                <w:color w:val="000000"/>
                <w:sz w:val="22"/>
                <w:szCs w:val="22"/>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color w:val="000000"/>
                <w:sz w:val="22"/>
                <w:szCs w:val="22"/>
              </w:rPr>
            </w:pPr>
          </w:p>
        </w:tc>
      </w:tr>
      <w:tr w:rsidR="00F70358">
        <w:trPr>
          <w:trHeight w:val="27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人员经费合计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443.32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公用经费合计</w:t>
            </w:r>
          </w:p>
        </w:tc>
        <w:tc>
          <w:tcPr>
            <w:tcW w:w="10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注：本表反映部门本年度一般公共预算财政拨款基本支出明细情况。</w:t>
      </w: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政府性基金预算财政拨款收入支出决算表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07</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60" w:type="dxa"/>
        <w:tblLayout w:type="fixed"/>
        <w:tblCellMar>
          <w:left w:w="0" w:type="dxa"/>
          <w:right w:w="0" w:type="dxa"/>
        </w:tblCellMar>
        <w:tblLook w:val="04A0"/>
      </w:tblPr>
      <w:tblGrid>
        <w:gridCol w:w="990"/>
        <w:gridCol w:w="2405"/>
        <w:gridCol w:w="1920"/>
        <w:gridCol w:w="1560"/>
        <w:gridCol w:w="1695"/>
        <w:gridCol w:w="1590"/>
        <w:gridCol w:w="1695"/>
        <w:gridCol w:w="2205"/>
      </w:tblGrid>
      <w:tr w:rsidR="00F70358">
        <w:trPr>
          <w:trHeight w:val="300"/>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年初结转和结余</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本年收入</w:t>
            </w:r>
          </w:p>
        </w:tc>
        <w:tc>
          <w:tcPr>
            <w:tcW w:w="498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w:t>
            </w:r>
          </w:p>
        </w:tc>
        <w:tc>
          <w:tcPr>
            <w:tcW w:w="22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年末结转和结余</w:t>
            </w:r>
          </w:p>
        </w:tc>
      </w:tr>
      <w:tr w:rsidR="00F70358">
        <w:trPr>
          <w:trHeight w:val="31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科目代码</w:t>
            </w:r>
          </w:p>
        </w:tc>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4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40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2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00"/>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r>
      <w:tr w:rsidR="00F70358">
        <w:trPr>
          <w:trHeight w:val="300"/>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18.51</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18.51</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18.51</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r>
      <w:tr w:rsidR="00F70358">
        <w:trPr>
          <w:trHeight w:val="300"/>
        </w:trPr>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2121304</w:t>
            </w:r>
          </w:p>
        </w:tc>
        <w:tc>
          <w:tcPr>
            <w:tcW w:w="24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城市防洪</w:t>
            </w:r>
          </w:p>
        </w:tc>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18.51</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注：本表反映部门本年度政府性基金预算财政拨款收入、支出及结转和结余情况。</w:t>
      </w: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国有资本经营预算财政拨款支出决算表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08</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75" w:type="dxa"/>
        <w:tblLayout w:type="fixed"/>
        <w:tblCellMar>
          <w:left w:w="0" w:type="dxa"/>
          <w:right w:w="0" w:type="dxa"/>
        </w:tblCellMar>
        <w:tblLook w:val="04A0"/>
      </w:tblPr>
      <w:tblGrid>
        <w:gridCol w:w="990"/>
        <w:gridCol w:w="4820"/>
        <w:gridCol w:w="2415"/>
        <w:gridCol w:w="2985"/>
        <w:gridCol w:w="2865"/>
      </w:tblGrid>
      <w:tr w:rsidR="00F70358">
        <w:trPr>
          <w:trHeight w:val="300"/>
        </w:trPr>
        <w:tc>
          <w:tcPr>
            <w:tcW w:w="58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w:t>
            </w:r>
          </w:p>
        </w:tc>
        <w:tc>
          <w:tcPr>
            <w:tcW w:w="826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本年支出</w:t>
            </w:r>
          </w:p>
        </w:tc>
      </w:tr>
      <w:tr w:rsidR="00F70358">
        <w:trPr>
          <w:trHeight w:val="312"/>
        </w:trPr>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科目代码</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科目名称</w:t>
            </w:r>
          </w:p>
        </w:tc>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基本支出</w:t>
            </w:r>
          </w:p>
        </w:tc>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项目支出</w:t>
            </w: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9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12"/>
        </w:trPr>
        <w:tc>
          <w:tcPr>
            <w:tcW w:w="9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4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9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300"/>
        </w:trPr>
        <w:tc>
          <w:tcPr>
            <w:tcW w:w="58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栏次</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2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r>
      <w:tr w:rsidR="00F70358">
        <w:trPr>
          <w:trHeight w:val="300"/>
        </w:trPr>
        <w:tc>
          <w:tcPr>
            <w:tcW w:w="58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24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b/>
                <w:color w:val="000000"/>
                <w:sz w:val="22"/>
                <w:szCs w:val="22"/>
              </w:rPr>
            </w:pPr>
          </w:p>
        </w:tc>
        <w:tc>
          <w:tcPr>
            <w:tcW w:w="2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b/>
                <w:color w:val="000000"/>
                <w:sz w:val="22"/>
                <w:szCs w:val="22"/>
              </w:rPr>
            </w:pPr>
            <w:r>
              <w:rPr>
                <w:rFonts w:ascii="宋体" w:hAnsi="宋体" w:cs="宋体" w:hint="eastAsia"/>
                <w:b/>
                <w:color w:val="000000"/>
                <w:kern w:val="0"/>
                <w:sz w:val="22"/>
                <w:szCs w:val="22"/>
                <w:lang/>
              </w:rPr>
              <w:t>0.00</w:t>
            </w:r>
          </w:p>
        </w:tc>
        <w:tc>
          <w:tcPr>
            <w:tcW w:w="28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F70358">
            <w:pPr>
              <w:jc w:val="right"/>
              <w:rPr>
                <w:rFonts w:ascii="宋体" w:hAnsi="宋体" w:cs="宋体"/>
                <w:b/>
                <w:color w:val="000000"/>
                <w:sz w:val="22"/>
                <w:szCs w:val="22"/>
              </w:rPr>
            </w:pP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注：本表反映部门本年度国有资本经营预算财政拨款支出情况。</w:t>
      </w: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left"/>
        <w:rPr>
          <w:rFonts w:ascii="黑体" w:eastAsia="黑体" w:hAnsi="黑体" w:cs="黑体"/>
          <w:bCs/>
          <w:sz w:val="22"/>
          <w:szCs w:val="22"/>
        </w:rPr>
      </w:pPr>
      <w:r>
        <w:rPr>
          <w:rFonts w:ascii="黑体" w:eastAsia="黑体" w:hAnsi="黑体" w:cs="黑体" w:hint="eastAsia"/>
          <w:bCs/>
          <w:sz w:val="22"/>
          <w:szCs w:val="22"/>
        </w:rPr>
        <w:t>说明：我单位没有使用国有资本经营预算安排的支出，故本表无数据。</w:t>
      </w:r>
    </w:p>
    <w:p w:rsidR="00F70358" w:rsidRDefault="00F70358">
      <w:pPr>
        <w:snapToGrid w:val="0"/>
        <w:jc w:val="left"/>
        <w:rPr>
          <w:rFonts w:asciiTheme="majorEastAsia" w:eastAsiaTheme="majorEastAsia" w:hAnsiTheme="majorEastAsia" w:cstheme="majorEastAsia"/>
          <w:bCs/>
          <w:sz w:val="22"/>
          <w:szCs w:val="22"/>
        </w:rPr>
      </w:pPr>
    </w:p>
    <w:p w:rsidR="00F70358" w:rsidRDefault="00D811D7">
      <w:pPr>
        <w:snapToGrid w:val="0"/>
        <w:jc w:val="center"/>
        <w:rPr>
          <w:rFonts w:ascii="黑体" w:eastAsia="黑体" w:hAnsi="黑体" w:cs="黑体"/>
          <w:bCs/>
          <w:sz w:val="32"/>
          <w:szCs w:val="32"/>
        </w:rPr>
      </w:pPr>
      <w:r>
        <w:rPr>
          <w:rFonts w:ascii="黑体" w:eastAsia="黑体" w:hAnsi="黑体" w:cs="黑体" w:hint="eastAsia"/>
          <w:bCs/>
          <w:sz w:val="32"/>
          <w:szCs w:val="32"/>
        </w:rPr>
        <w:t>财政拨款“三公”经费支出决算表</w:t>
      </w:r>
    </w:p>
    <w:p w:rsidR="00F70358" w:rsidRDefault="00D811D7">
      <w:pPr>
        <w:snapToGrid w:val="0"/>
        <w:jc w:val="righ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公开</w:t>
      </w:r>
      <w:r>
        <w:rPr>
          <w:rFonts w:asciiTheme="majorEastAsia" w:eastAsiaTheme="majorEastAsia" w:hAnsiTheme="majorEastAsia" w:cstheme="majorEastAsia" w:hint="eastAsia"/>
          <w:bCs/>
          <w:sz w:val="22"/>
          <w:szCs w:val="22"/>
        </w:rPr>
        <w:t>09</w:t>
      </w:r>
      <w:r>
        <w:rPr>
          <w:rFonts w:asciiTheme="majorEastAsia" w:eastAsiaTheme="majorEastAsia" w:hAnsiTheme="majorEastAsia" w:cstheme="majorEastAsia" w:hint="eastAsia"/>
          <w:bCs/>
          <w:sz w:val="22"/>
          <w:szCs w:val="22"/>
        </w:rPr>
        <w:t>表</w:t>
      </w:r>
    </w:p>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部门：桃源县漳江垸水利管理委员会</w:t>
      </w:r>
      <w:r>
        <w:rPr>
          <w:rFonts w:asciiTheme="majorEastAsia" w:eastAsiaTheme="majorEastAsia" w:hAnsiTheme="majorEastAsia" w:cstheme="majorEastAsia" w:hint="eastAsia"/>
          <w:bCs/>
          <w:sz w:val="22"/>
          <w:szCs w:val="22"/>
        </w:rPr>
        <w:t xml:space="preserve">                                                                                     </w:t>
      </w:r>
      <w:r>
        <w:rPr>
          <w:rFonts w:asciiTheme="majorEastAsia" w:eastAsiaTheme="majorEastAsia" w:hAnsiTheme="majorEastAsia" w:cstheme="majorEastAsia" w:hint="eastAsia"/>
          <w:bCs/>
          <w:sz w:val="22"/>
          <w:szCs w:val="22"/>
        </w:rPr>
        <w:t>单位：万元</w:t>
      </w:r>
    </w:p>
    <w:tbl>
      <w:tblPr>
        <w:tblW w:w="14060" w:type="dxa"/>
        <w:tblLayout w:type="fixed"/>
        <w:tblCellMar>
          <w:left w:w="0" w:type="dxa"/>
          <w:right w:w="0" w:type="dxa"/>
        </w:tblCellMar>
        <w:tblLook w:val="04A0"/>
      </w:tblPr>
      <w:tblGrid>
        <w:gridCol w:w="980"/>
        <w:gridCol w:w="1245"/>
        <w:gridCol w:w="975"/>
        <w:gridCol w:w="1065"/>
        <w:gridCol w:w="1305"/>
        <w:gridCol w:w="1215"/>
        <w:gridCol w:w="855"/>
        <w:gridCol w:w="1200"/>
        <w:gridCol w:w="840"/>
        <w:gridCol w:w="1200"/>
        <w:gridCol w:w="1410"/>
        <w:gridCol w:w="1770"/>
      </w:tblGrid>
      <w:tr w:rsidR="00F70358">
        <w:trPr>
          <w:trHeight w:val="270"/>
        </w:trPr>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预算数</w:t>
            </w:r>
          </w:p>
        </w:tc>
        <w:tc>
          <w:tcPr>
            <w:tcW w:w="727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决算数</w:t>
            </w:r>
          </w:p>
        </w:tc>
      </w:tr>
      <w:tr w:rsidR="00F70358">
        <w:trPr>
          <w:trHeight w:val="270"/>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因公出国（境）费</w:t>
            </w:r>
          </w:p>
        </w:tc>
        <w:tc>
          <w:tcPr>
            <w:tcW w:w="334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公务用车购置及运行维护费</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公务接待费</w:t>
            </w:r>
          </w:p>
        </w:tc>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合计</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因公出国（境）费</w:t>
            </w:r>
          </w:p>
        </w:tc>
        <w:tc>
          <w:tcPr>
            <w:tcW w:w="345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公务用车购置及运行维护费</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公务接待费</w:t>
            </w:r>
          </w:p>
        </w:tc>
      </w:tr>
      <w:tr w:rsidR="00F70358">
        <w:trPr>
          <w:trHeight w:val="810"/>
        </w:trPr>
        <w:tc>
          <w:tcPr>
            <w:tcW w:w="9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公务用车购置费</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公务用车运行维护费</w:t>
            </w: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8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小计</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公务用车购置费</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公务用车运行维护费</w:t>
            </w:r>
          </w:p>
        </w:tc>
        <w:tc>
          <w:tcPr>
            <w:tcW w:w="17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F70358">
            <w:pPr>
              <w:jc w:val="center"/>
              <w:rPr>
                <w:rFonts w:ascii="宋体" w:hAnsi="宋体" w:cs="宋体"/>
                <w:color w:val="000000"/>
                <w:sz w:val="22"/>
                <w:szCs w:val="22"/>
              </w:rPr>
            </w:pPr>
          </w:p>
        </w:tc>
      </w:tr>
      <w:tr w:rsidR="00F70358">
        <w:trPr>
          <w:trHeight w:val="270"/>
        </w:trPr>
        <w:tc>
          <w:tcPr>
            <w:tcW w:w="9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5</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7</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9</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10</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11</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70358" w:rsidRDefault="00D811D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12</w:t>
            </w:r>
          </w:p>
        </w:tc>
      </w:tr>
      <w:tr w:rsidR="00F70358">
        <w:trPr>
          <w:trHeight w:val="270"/>
        </w:trPr>
        <w:tc>
          <w:tcPr>
            <w:tcW w:w="9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9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70358" w:rsidRDefault="00D811D7">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0.00</w:t>
            </w:r>
          </w:p>
        </w:tc>
      </w:tr>
    </w:tbl>
    <w:p w:rsidR="00F70358" w:rsidRDefault="00D811D7">
      <w:pPr>
        <w:snapToGrid w:val="0"/>
        <w:jc w:val="left"/>
        <w:rPr>
          <w:rFonts w:asciiTheme="majorEastAsia" w:eastAsiaTheme="majorEastAsia" w:hAnsiTheme="majorEastAsia" w:cstheme="majorEastAsia"/>
          <w:bCs/>
          <w:sz w:val="22"/>
          <w:szCs w:val="22"/>
        </w:rPr>
      </w:pPr>
      <w:r>
        <w:rPr>
          <w:rFonts w:asciiTheme="majorEastAsia" w:eastAsiaTheme="majorEastAsia" w:hAnsiTheme="majorEastAsia" w:cstheme="majorEastAsia" w:hint="eastAsia"/>
          <w:bCs/>
          <w:sz w:val="22"/>
          <w:szCs w:val="22"/>
        </w:rPr>
        <w:t>注：本表反映部门本年度财政拨款“三公”经费支出预决算情况。其中，预算数为“三公”经费全年预算数，反映按规定程序调整后的预算数；决算数市包括当年财政拨款和以前年度结转资金安排的实际支出。</w:t>
      </w:r>
    </w:p>
    <w:p w:rsidR="00F70358" w:rsidRDefault="00F70358">
      <w:pPr>
        <w:snapToGrid w:val="0"/>
        <w:jc w:val="left"/>
        <w:rPr>
          <w:rFonts w:asciiTheme="majorEastAsia" w:eastAsiaTheme="majorEastAsia" w:hAnsiTheme="majorEastAsia" w:cstheme="majorEastAsia"/>
          <w:bCs/>
          <w:sz w:val="22"/>
          <w:szCs w:val="22"/>
        </w:rPr>
      </w:pPr>
    </w:p>
    <w:p w:rsidR="00F70358" w:rsidRDefault="00F70358">
      <w:pPr>
        <w:snapToGrid w:val="0"/>
        <w:spacing w:line="520" w:lineRule="exact"/>
        <w:rPr>
          <w:rFonts w:ascii="黑体" w:eastAsia="黑体" w:hAnsi="黑体" w:cs="黑体"/>
          <w:bCs/>
          <w:sz w:val="32"/>
          <w:szCs w:val="32"/>
        </w:rPr>
      </w:pPr>
    </w:p>
    <w:p w:rsidR="00F70358" w:rsidRDefault="00F70358">
      <w:pPr>
        <w:snapToGrid w:val="0"/>
        <w:spacing w:line="520" w:lineRule="exact"/>
        <w:ind w:firstLine="640"/>
        <w:rPr>
          <w:rFonts w:ascii="黑体" w:eastAsia="黑体" w:hAnsi="黑体" w:cs="黑体"/>
          <w:bCs/>
          <w:sz w:val="32"/>
          <w:szCs w:val="32"/>
        </w:rPr>
        <w:sectPr w:rsidR="00F70358">
          <w:pgSz w:w="16838" w:h="11906" w:orient="landscape"/>
          <w:pgMar w:top="1800" w:right="1440" w:bottom="1800" w:left="1440" w:header="851" w:footer="992" w:gutter="0"/>
          <w:cols w:space="720"/>
          <w:docGrid w:type="lines" w:linePitch="312"/>
        </w:sectPr>
      </w:pP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lastRenderedPageBreak/>
        <w:t>第三部分</w:t>
      </w: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t>2023</w:t>
      </w:r>
      <w:r>
        <w:rPr>
          <w:rFonts w:ascii="黑体" w:eastAsia="黑体" w:hAnsi="黑体" w:cs="黑体" w:hint="eastAsia"/>
          <w:bCs/>
          <w:sz w:val="32"/>
          <w:szCs w:val="32"/>
        </w:rPr>
        <w:t>年度部门决算情况说明</w:t>
      </w:r>
    </w:p>
    <w:p w:rsidR="00F70358" w:rsidRDefault="00F70358">
      <w:pPr>
        <w:snapToGrid w:val="0"/>
        <w:spacing w:line="520" w:lineRule="exact"/>
        <w:ind w:firstLineChars="200" w:firstLine="640"/>
        <w:jc w:val="left"/>
        <w:rPr>
          <w:rFonts w:ascii="黑体" w:eastAsia="黑体" w:hAnsi="黑体" w:cs="黑体"/>
          <w:bCs/>
          <w:sz w:val="32"/>
          <w:szCs w:val="32"/>
        </w:rPr>
      </w:pP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收入支出决算总体情况说明</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年度收、支总计</w:t>
      </w:r>
      <w:r>
        <w:rPr>
          <w:rFonts w:ascii="仿宋" w:eastAsia="仿宋" w:hAnsi="仿宋" w:cs="仿宋" w:hint="eastAsia"/>
          <w:bCs/>
          <w:sz w:val="32"/>
          <w:szCs w:val="32"/>
        </w:rPr>
        <w:t>1239.74</w:t>
      </w:r>
      <w:r>
        <w:rPr>
          <w:rFonts w:ascii="仿宋" w:eastAsia="仿宋" w:hAnsi="仿宋" w:cs="仿宋" w:hint="eastAsia"/>
          <w:bCs/>
          <w:sz w:val="32"/>
          <w:szCs w:val="32"/>
        </w:rPr>
        <w:t>万元。与上年相比，增加</w:t>
      </w:r>
      <w:r>
        <w:rPr>
          <w:rFonts w:ascii="仿宋" w:eastAsia="仿宋" w:hAnsi="仿宋" w:cs="仿宋" w:hint="eastAsia"/>
          <w:bCs/>
          <w:sz w:val="32"/>
          <w:szCs w:val="32"/>
        </w:rPr>
        <w:t>0</w:t>
      </w:r>
      <w:r>
        <w:rPr>
          <w:rFonts w:ascii="仿宋" w:eastAsia="仿宋" w:hAnsi="仿宋" w:cs="仿宋" w:hint="eastAsia"/>
          <w:bCs/>
          <w:sz w:val="32"/>
          <w:szCs w:val="32"/>
        </w:rPr>
        <w:t>万元，增长</w:t>
      </w:r>
      <w:r>
        <w:rPr>
          <w:rFonts w:ascii="仿宋" w:eastAsia="仿宋" w:hAnsi="仿宋" w:cs="仿宋" w:hint="eastAsia"/>
          <w:bCs/>
          <w:sz w:val="32"/>
          <w:szCs w:val="32"/>
        </w:rPr>
        <w:t>0%</w:t>
      </w:r>
      <w:r>
        <w:rPr>
          <w:rFonts w:ascii="仿宋" w:eastAsia="仿宋" w:hAnsi="仿宋" w:cs="仿宋" w:hint="eastAsia"/>
          <w:bCs/>
          <w:sz w:val="32"/>
          <w:szCs w:val="32"/>
        </w:rPr>
        <w:t>，主要是因为</w:t>
      </w:r>
      <w:r>
        <w:rPr>
          <w:rFonts w:ascii="仿宋" w:eastAsia="仿宋" w:hAnsi="仿宋" w:cs="仿宋" w:hint="eastAsia"/>
          <w:bCs/>
          <w:sz w:val="32"/>
          <w:szCs w:val="32"/>
        </w:rPr>
        <w:t>2023</w:t>
      </w:r>
      <w:r>
        <w:rPr>
          <w:rFonts w:ascii="仿宋" w:eastAsia="仿宋" w:hAnsi="仿宋" w:cs="仿宋" w:hint="eastAsia"/>
          <w:bCs/>
          <w:sz w:val="32"/>
          <w:szCs w:val="32"/>
        </w:rPr>
        <w:t>年</w:t>
      </w:r>
      <w:r>
        <w:rPr>
          <w:rFonts w:ascii="仿宋" w:eastAsia="仿宋" w:hAnsi="仿宋" w:cs="仿宋" w:hint="eastAsia"/>
          <w:bCs/>
          <w:sz w:val="32"/>
          <w:szCs w:val="32"/>
        </w:rPr>
        <w:t>3</w:t>
      </w:r>
      <w:r>
        <w:rPr>
          <w:rFonts w:ascii="仿宋" w:eastAsia="仿宋" w:hAnsi="仿宋" w:cs="仿宋" w:hint="eastAsia"/>
          <w:bCs/>
          <w:sz w:val="32"/>
          <w:szCs w:val="32"/>
        </w:rPr>
        <w:t>月进入一级预算单位，没有</w:t>
      </w:r>
      <w:r>
        <w:rPr>
          <w:rFonts w:ascii="仿宋" w:eastAsia="仿宋" w:hAnsi="仿宋" w:cs="仿宋" w:hint="eastAsia"/>
          <w:bCs/>
          <w:sz w:val="32"/>
          <w:szCs w:val="32"/>
        </w:rPr>
        <w:t>2022</w:t>
      </w:r>
      <w:r>
        <w:rPr>
          <w:rFonts w:ascii="仿宋" w:eastAsia="仿宋" w:hAnsi="仿宋" w:cs="仿宋" w:hint="eastAsia"/>
          <w:bCs/>
          <w:sz w:val="32"/>
          <w:szCs w:val="32"/>
        </w:rPr>
        <w:t>年的收入支出数。</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收入决算情况说明</w:t>
      </w:r>
    </w:p>
    <w:p w:rsidR="00F70358" w:rsidRDefault="00D811D7">
      <w:pPr>
        <w:snapToGrid w:val="0"/>
        <w:spacing w:line="520" w:lineRule="exact"/>
        <w:ind w:firstLineChars="200" w:firstLine="640"/>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年度收入合计</w:t>
      </w:r>
      <w:r>
        <w:rPr>
          <w:rFonts w:ascii="仿宋" w:eastAsia="仿宋" w:hAnsi="仿宋" w:cs="仿宋" w:hint="eastAsia"/>
          <w:bCs/>
          <w:sz w:val="32"/>
          <w:szCs w:val="32"/>
        </w:rPr>
        <w:t>619.87</w:t>
      </w:r>
      <w:r>
        <w:rPr>
          <w:rFonts w:ascii="仿宋" w:eastAsia="仿宋" w:hAnsi="仿宋" w:cs="仿宋" w:hint="eastAsia"/>
          <w:bCs/>
          <w:sz w:val="32"/>
          <w:szCs w:val="32"/>
        </w:rPr>
        <w:t>万元，其中：财政拨款收入</w:t>
      </w:r>
      <w:r>
        <w:rPr>
          <w:rFonts w:ascii="仿宋" w:eastAsia="仿宋" w:hAnsi="仿宋" w:cs="仿宋" w:hint="eastAsia"/>
          <w:bCs/>
          <w:sz w:val="32"/>
          <w:szCs w:val="32"/>
        </w:rPr>
        <w:t>619.87</w:t>
      </w:r>
      <w:r>
        <w:rPr>
          <w:rFonts w:ascii="仿宋" w:eastAsia="仿宋" w:hAnsi="仿宋" w:cs="仿宋" w:hint="eastAsia"/>
          <w:bCs/>
          <w:sz w:val="32"/>
          <w:szCs w:val="32"/>
        </w:rPr>
        <w:t>万元，占</w:t>
      </w:r>
      <w:r>
        <w:rPr>
          <w:rFonts w:ascii="仿宋" w:eastAsia="仿宋" w:hAnsi="仿宋" w:cs="仿宋" w:hint="eastAsia"/>
          <w:bCs/>
          <w:sz w:val="32"/>
          <w:szCs w:val="32"/>
        </w:rPr>
        <w:t>100%</w:t>
      </w:r>
      <w:r>
        <w:rPr>
          <w:rFonts w:ascii="仿宋" w:eastAsia="仿宋" w:hAnsi="仿宋" w:cs="仿宋" w:hint="eastAsia"/>
          <w:bCs/>
          <w:sz w:val="32"/>
          <w:szCs w:val="32"/>
        </w:rPr>
        <w:t>。</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支出决算情况说明</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年度支出合计</w:t>
      </w:r>
      <w:r>
        <w:rPr>
          <w:rFonts w:ascii="仿宋" w:eastAsia="仿宋" w:hAnsi="仿宋" w:cs="仿宋" w:hint="eastAsia"/>
          <w:bCs/>
          <w:sz w:val="32"/>
          <w:szCs w:val="32"/>
        </w:rPr>
        <w:t>619.87</w:t>
      </w:r>
      <w:r>
        <w:rPr>
          <w:rFonts w:ascii="仿宋" w:eastAsia="仿宋" w:hAnsi="仿宋" w:cs="仿宋" w:hint="eastAsia"/>
          <w:bCs/>
          <w:sz w:val="32"/>
          <w:szCs w:val="32"/>
        </w:rPr>
        <w:t>万元，其中：基本支出</w:t>
      </w:r>
      <w:r>
        <w:rPr>
          <w:rFonts w:ascii="仿宋" w:eastAsia="仿宋" w:hAnsi="仿宋" w:cs="仿宋" w:hint="eastAsia"/>
          <w:bCs/>
          <w:sz w:val="32"/>
          <w:szCs w:val="32"/>
        </w:rPr>
        <w:t>443.32</w:t>
      </w:r>
      <w:r>
        <w:rPr>
          <w:rFonts w:ascii="仿宋" w:eastAsia="仿宋" w:hAnsi="仿宋" w:cs="仿宋" w:hint="eastAsia"/>
          <w:bCs/>
          <w:sz w:val="32"/>
          <w:szCs w:val="32"/>
        </w:rPr>
        <w:t>万元，占</w:t>
      </w:r>
      <w:r>
        <w:rPr>
          <w:rFonts w:ascii="仿宋" w:eastAsia="仿宋" w:hAnsi="仿宋" w:cs="仿宋" w:hint="eastAsia"/>
          <w:bCs/>
          <w:sz w:val="32"/>
          <w:szCs w:val="32"/>
        </w:rPr>
        <w:t>71.6%</w:t>
      </w:r>
      <w:r>
        <w:rPr>
          <w:rFonts w:ascii="仿宋" w:eastAsia="仿宋" w:hAnsi="仿宋" w:cs="仿宋" w:hint="eastAsia"/>
          <w:bCs/>
          <w:sz w:val="32"/>
          <w:szCs w:val="32"/>
        </w:rPr>
        <w:t>；项目支出</w:t>
      </w:r>
      <w:r>
        <w:rPr>
          <w:rFonts w:ascii="仿宋" w:eastAsia="仿宋" w:hAnsi="仿宋" w:cs="仿宋" w:hint="eastAsia"/>
          <w:bCs/>
          <w:sz w:val="32"/>
          <w:szCs w:val="32"/>
        </w:rPr>
        <w:t>176.55</w:t>
      </w:r>
      <w:r>
        <w:rPr>
          <w:rFonts w:ascii="仿宋" w:eastAsia="仿宋" w:hAnsi="仿宋" w:cs="仿宋" w:hint="eastAsia"/>
          <w:bCs/>
          <w:sz w:val="32"/>
          <w:szCs w:val="32"/>
        </w:rPr>
        <w:t>万元，占</w:t>
      </w:r>
      <w:r>
        <w:rPr>
          <w:rFonts w:ascii="仿宋" w:eastAsia="仿宋" w:hAnsi="仿宋" w:cs="仿宋" w:hint="eastAsia"/>
          <w:bCs/>
          <w:sz w:val="32"/>
          <w:szCs w:val="32"/>
        </w:rPr>
        <w:t>28.4%</w:t>
      </w:r>
      <w:r>
        <w:rPr>
          <w:rFonts w:ascii="仿宋" w:eastAsia="仿宋" w:hAnsi="仿宋" w:cs="仿宋" w:hint="eastAsia"/>
          <w:bCs/>
          <w:sz w:val="32"/>
          <w:szCs w:val="32"/>
        </w:rPr>
        <w:t>。</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财政拨款收入支出决算总体情况说明</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年度财政拨款收、支总计</w:t>
      </w:r>
      <w:r>
        <w:rPr>
          <w:rFonts w:ascii="仿宋" w:eastAsia="仿宋" w:hAnsi="仿宋" w:cs="仿宋" w:hint="eastAsia"/>
          <w:bCs/>
          <w:sz w:val="32"/>
          <w:szCs w:val="32"/>
        </w:rPr>
        <w:t>1239.74</w:t>
      </w:r>
      <w:r>
        <w:rPr>
          <w:rFonts w:ascii="仿宋" w:eastAsia="仿宋" w:hAnsi="仿宋" w:cs="仿宋" w:hint="eastAsia"/>
          <w:bCs/>
          <w:sz w:val="32"/>
          <w:szCs w:val="32"/>
        </w:rPr>
        <w:t>万元，与上年相比，增加</w:t>
      </w:r>
      <w:r>
        <w:rPr>
          <w:rFonts w:ascii="仿宋" w:eastAsia="仿宋" w:hAnsi="仿宋" w:cs="仿宋" w:hint="eastAsia"/>
          <w:bCs/>
          <w:sz w:val="32"/>
          <w:szCs w:val="32"/>
        </w:rPr>
        <w:t>0</w:t>
      </w:r>
      <w:r>
        <w:rPr>
          <w:rFonts w:ascii="仿宋" w:eastAsia="仿宋" w:hAnsi="仿宋" w:cs="仿宋" w:hint="eastAsia"/>
          <w:bCs/>
          <w:sz w:val="32"/>
          <w:szCs w:val="32"/>
        </w:rPr>
        <w:t>万元，增长</w:t>
      </w:r>
      <w:r>
        <w:rPr>
          <w:rFonts w:ascii="仿宋" w:eastAsia="仿宋" w:hAnsi="仿宋" w:cs="仿宋" w:hint="eastAsia"/>
          <w:bCs/>
          <w:sz w:val="32"/>
          <w:szCs w:val="32"/>
        </w:rPr>
        <w:t>0</w:t>
      </w:r>
      <w:r>
        <w:rPr>
          <w:rFonts w:ascii="仿宋" w:eastAsia="仿宋" w:hAnsi="仿宋" w:cs="仿宋" w:hint="eastAsia"/>
          <w:bCs/>
          <w:sz w:val="32"/>
          <w:szCs w:val="32"/>
        </w:rPr>
        <w:t>%</w:t>
      </w:r>
      <w:r>
        <w:rPr>
          <w:rFonts w:ascii="仿宋" w:eastAsia="仿宋" w:hAnsi="仿宋" w:cs="仿宋" w:hint="eastAsia"/>
          <w:bCs/>
          <w:sz w:val="32"/>
          <w:szCs w:val="32"/>
        </w:rPr>
        <w:t>，主要是因为</w:t>
      </w:r>
      <w:r>
        <w:rPr>
          <w:rFonts w:ascii="仿宋" w:eastAsia="仿宋" w:hAnsi="仿宋" w:cs="仿宋" w:hint="eastAsia"/>
          <w:bCs/>
          <w:sz w:val="32"/>
          <w:szCs w:val="32"/>
        </w:rPr>
        <w:t>2023</w:t>
      </w:r>
      <w:r>
        <w:rPr>
          <w:rFonts w:ascii="仿宋" w:eastAsia="仿宋" w:hAnsi="仿宋" w:cs="仿宋" w:hint="eastAsia"/>
          <w:bCs/>
          <w:sz w:val="32"/>
          <w:szCs w:val="32"/>
        </w:rPr>
        <w:t>年</w:t>
      </w:r>
      <w:r>
        <w:rPr>
          <w:rFonts w:ascii="仿宋" w:eastAsia="仿宋" w:hAnsi="仿宋" w:cs="仿宋" w:hint="eastAsia"/>
          <w:bCs/>
          <w:sz w:val="32"/>
          <w:szCs w:val="32"/>
        </w:rPr>
        <w:t>3</w:t>
      </w:r>
      <w:r>
        <w:rPr>
          <w:rFonts w:ascii="仿宋" w:eastAsia="仿宋" w:hAnsi="仿宋" w:cs="仿宋" w:hint="eastAsia"/>
          <w:bCs/>
          <w:sz w:val="32"/>
          <w:szCs w:val="32"/>
        </w:rPr>
        <w:t>月进入一级预算单位，没有</w:t>
      </w:r>
      <w:r>
        <w:rPr>
          <w:rFonts w:ascii="仿宋" w:eastAsia="仿宋" w:hAnsi="仿宋" w:cs="仿宋" w:hint="eastAsia"/>
          <w:bCs/>
          <w:sz w:val="32"/>
          <w:szCs w:val="32"/>
        </w:rPr>
        <w:t>2022</w:t>
      </w:r>
      <w:r>
        <w:rPr>
          <w:rFonts w:ascii="仿宋" w:eastAsia="仿宋" w:hAnsi="仿宋" w:cs="仿宋" w:hint="eastAsia"/>
          <w:bCs/>
          <w:sz w:val="32"/>
          <w:szCs w:val="32"/>
        </w:rPr>
        <w:t>年的收入支出数。</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一般公共预算财政拨款支出决算总体情况</w:t>
      </w:r>
    </w:p>
    <w:p w:rsidR="00F70358" w:rsidRDefault="00D811D7">
      <w:pPr>
        <w:numPr>
          <w:ilvl w:val="0"/>
          <w:numId w:val="4"/>
        </w:num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一般公共预算财政拨款支出决算总体情况</w:t>
      </w:r>
    </w:p>
    <w:p w:rsidR="00F70358" w:rsidRDefault="00D811D7">
      <w:pPr>
        <w:snapToGrid w:val="0"/>
        <w:spacing w:line="520" w:lineRule="exact"/>
        <w:ind w:firstLine="640"/>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年度财政拨款支出</w:t>
      </w:r>
      <w:r>
        <w:rPr>
          <w:rFonts w:ascii="仿宋" w:eastAsia="仿宋" w:hAnsi="仿宋" w:cs="仿宋" w:hint="eastAsia"/>
          <w:bCs/>
          <w:sz w:val="32"/>
          <w:szCs w:val="32"/>
        </w:rPr>
        <w:t>601.36</w:t>
      </w:r>
      <w:r>
        <w:rPr>
          <w:rFonts w:ascii="仿宋" w:eastAsia="仿宋" w:hAnsi="仿宋" w:cs="仿宋" w:hint="eastAsia"/>
          <w:bCs/>
          <w:sz w:val="32"/>
          <w:szCs w:val="32"/>
        </w:rPr>
        <w:t>万元，占本年支出合计的</w:t>
      </w:r>
      <w:r>
        <w:rPr>
          <w:rFonts w:ascii="仿宋" w:eastAsia="仿宋" w:hAnsi="仿宋" w:cs="仿宋" w:hint="eastAsia"/>
          <w:bCs/>
          <w:sz w:val="32"/>
          <w:szCs w:val="32"/>
        </w:rPr>
        <w:t>97.01%</w:t>
      </w:r>
      <w:r>
        <w:rPr>
          <w:rFonts w:ascii="仿宋" w:eastAsia="仿宋" w:hAnsi="仿宋" w:cs="仿宋" w:hint="eastAsia"/>
          <w:bCs/>
          <w:sz w:val="32"/>
          <w:szCs w:val="32"/>
        </w:rPr>
        <w:t>，与上年相比，增加</w:t>
      </w:r>
      <w:r>
        <w:rPr>
          <w:rFonts w:ascii="仿宋" w:eastAsia="仿宋" w:hAnsi="仿宋" w:cs="仿宋" w:hint="eastAsia"/>
          <w:bCs/>
          <w:sz w:val="32"/>
          <w:szCs w:val="32"/>
        </w:rPr>
        <w:t>0</w:t>
      </w:r>
      <w:r>
        <w:rPr>
          <w:rFonts w:ascii="仿宋" w:eastAsia="仿宋" w:hAnsi="仿宋" w:cs="仿宋" w:hint="eastAsia"/>
          <w:bCs/>
          <w:sz w:val="32"/>
          <w:szCs w:val="32"/>
        </w:rPr>
        <w:t>万元，增长</w:t>
      </w:r>
      <w:r>
        <w:rPr>
          <w:rFonts w:ascii="仿宋" w:eastAsia="仿宋" w:hAnsi="仿宋" w:cs="仿宋" w:hint="eastAsia"/>
          <w:bCs/>
          <w:sz w:val="32"/>
          <w:szCs w:val="32"/>
        </w:rPr>
        <w:t>0%</w:t>
      </w:r>
      <w:r>
        <w:rPr>
          <w:rFonts w:ascii="仿宋" w:eastAsia="仿宋" w:hAnsi="仿宋" w:cs="仿宋" w:hint="eastAsia"/>
          <w:bCs/>
          <w:sz w:val="32"/>
          <w:szCs w:val="32"/>
        </w:rPr>
        <w:t>，主要是因为</w:t>
      </w:r>
      <w:r>
        <w:rPr>
          <w:rFonts w:ascii="仿宋" w:eastAsia="仿宋" w:hAnsi="仿宋" w:cs="仿宋" w:hint="eastAsia"/>
          <w:bCs/>
          <w:sz w:val="32"/>
          <w:szCs w:val="32"/>
        </w:rPr>
        <w:t>2023</w:t>
      </w:r>
      <w:r>
        <w:rPr>
          <w:rFonts w:ascii="仿宋" w:eastAsia="仿宋" w:hAnsi="仿宋" w:cs="仿宋" w:hint="eastAsia"/>
          <w:bCs/>
          <w:sz w:val="32"/>
          <w:szCs w:val="32"/>
        </w:rPr>
        <w:t>年</w:t>
      </w:r>
      <w:r>
        <w:rPr>
          <w:rFonts w:ascii="仿宋" w:eastAsia="仿宋" w:hAnsi="仿宋" w:cs="仿宋" w:hint="eastAsia"/>
          <w:bCs/>
          <w:sz w:val="32"/>
          <w:szCs w:val="32"/>
        </w:rPr>
        <w:t>3</w:t>
      </w:r>
      <w:r>
        <w:rPr>
          <w:rFonts w:ascii="仿宋" w:eastAsia="仿宋" w:hAnsi="仿宋" w:cs="仿宋" w:hint="eastAsia"/>
          <w:bCs/>
          <w:sz w:val="32"/>
          <w:szCs w:val="32"/>
        </w:rPr>
        <w:t>月进入一级预算单位，没有</w:t>
      </w:r>
      <w:r>
        <w:rPr>
          <w:rFonts w:ascii="仿宋" w:eastAsia="仿宋" w:hAnsi="仿宋" w:cs="仿宋" w:hint="eastAsia"/>
          <w:bCs/>
          <w:sz w:val="32"/>
          <w:szCs w:val="32"/>
        </w:rPr>
        <w:t>2022</w:t>
      </w:r>
      <w:r>
        <w:rPr>
          <w:rFonts w:ascii="仿宋" w:eastAsia="仿宋" w:hAnsi="仿宋" w:cs="仿宋" w:hint="eastAsia"/>
          <w:bCs/>
          <w:sz w:val="32"/>
          <w:szCs w:val="32"/>
        </w:rPr>
        <w:t>年的收入支出数。</w:t>
      </w:r>
    </w:p>
    <w:p w:rsidR="00F70358" w:rsidRDefault="00D811D7">
      <w:pPr>
        <w:numPr>
          <w:ilvl w:val="0"/>
          <w:numId w:val="4"/>
        </w:num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一般公共预算财政拨款支出决算结构情况</w:t>
      </w:r>
    </w:p>
    <w:p w:rsidR="00F70358" w:rsidRDefault="00D811D7">
      <w:pPr>
        <w:snapToGrid w:val="0"/>
        <w:spacing w:line="520" w:lineRule="exact"/>
        <w:ind w:firstLine="640"/>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年度财政拨款支出</w:t>
      </w:r>
      <w:r>
        <w:rPr>
          <w:rFonts w:ascii="仿宋" w:eastAsia="仿宋" w:hAnsi="仿宋" w:cs="仿宋" w:hint="eastAsia"/>
          <w:bCs/>
          <w:sz w:val="32"/>
          <w:szCs w:val="32"/>
        </w:rPr>
        <w:t>601.36</w:t>
      </w:r>
      <w:r>
        <w:rPr>
          <w:rFonts w:ascii="仿宋" w:eastAsia="仿宋" w:hAnsi="仿宋" w:cs="仿宋" w:hint="eastAsia"/>
          <w:bCs/>
          <w:sz w:val="32"/>
          <w:szCs w:val="32"/>
        </w:rPr>
        <w:t>万元，主要用于以下方面：一般公共服务（类）支出</w:t>
      </w:r>
      <w:r>
        <w:rPr>
          <w:rFonts w:ascii="仿宋" w:eastAsia="仿宋" w:hAnsi="仿宋" w:cs="仿宋" w:hint="eastAsia"/>
          <w:bCs/>
          <w:sz w:val="32"/>
          <w:szCs w:val="32"/>
        </w:rPr>
        <w:t>601.36</w:t>
      </w:r>
      <w:r>
        <w:rPr>
          <w:rFonts w:ascii="仿宋" w:eastAsia="仿宋" w:hAnsi="仿宋" w:cs="仿宋" w:hint="eastAsia"/>
          <w:bCs/>
          <w:sz w:val="32"/>
          <w:szCs w:val="32"/>
        </w:rPr>
        <w:t>万元，占</w:t>
      </w:r>
      <w:r>
        <w:rPr>
          <w:rFonts w:ascii="仿宋" w:eastAsia="仿宋" w:hAnsi="仿宋" w:cs="仿宋" w:hint="eastAsia"/>
          <w:bCs/>
          <w:sz w:val="32"/>
          <w:szCs w:val="32"/>
        </w:rPr>
        <w:t>100%</w:t>
      </w:r>
      <w:r>
        <w:rPr>
          <w:rFonts w:ascii="仿宋" w:eastAsia="仿宋" w:hAnsi="仿宋" w:cs="仿宋" w:hint="eastAsia"/>
          <w:bCs/>
          <w:sz w:val="32"/>
          <w:szCs w:val="32"/>
        </w:rPr>
        <w:t>。</w:t>
      </w:r>
    </w:p>
    <w:p w:rsidR="00F70358" w:rsidRDefault="00D811D7">
      <w:pPr>
        <w:numPr>
          <w:ilvl w:val="0"/>
          <w:numId w:val="4"/>
        </w:num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lastRenderedPageBreak/>
        <w:t>一般公共预算财政拨款支出决算具体情况</w:t>
      </w:r>
    </w:p>
    <w:p w:rsidR="00F70358" w:rsidRDefault="00D811D7">
      <w:pPr>
        <w:snapToGrid w:val="0"/>
        <w:spacing w:line="520" w:lineRule="exact"/>
        <w:ind w:firstLine="640"/>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年度财政拨款支出年初预算数为</w:t>
      </w:r>
      <w:r>
        <w:rPr>
          <w:rFonts w:ascii="仿宋" w:eastAsia="仿宋" w:hAnsi="仿宋" w:cs="仿宋" w:hint="eastAsia"/>
          <w:bCs/>
          <w:sz w:val="32"/>
          <w:szCs w:val="32"/>
        </w:rPr>
        <w:t>601.36</w:t>
      </w:r>
      <w:r>
        <w:rPr>
          <w:rFonts w:ascii="仿宋" w:eastAsia="仿宋" w:hAnsi="仿宋" w:cs="仿宋" w:hint="eastAsia"/>
          <w:bCs/>
          <w:sz w:val="32"/>
          <w:szCs w:val="32"/>
        </w:rPr>
        <w:t>万元，支出决算数为</w:t>
      </w:r>
      <w:r>
        <w:rPr>
          <w:rFonts w:ascii="仿宋" w:eastAsia="仿宋" w:hAnsi="仿宋" w:cs="仿宋" w:hint="eastAsia"/>
          <w:bCs/>
          <w:sz w:val="32"/>
          <w:szCs w:val="32"/>
        </w:rPr>
        <w:t>601.36</w:t>
      </w:r>
      <w:r>
        <w:rPr>
          <w:rFonts w:ascii="仿宋" w:eastAsia="仿宋" w:hAnsi="仿宋" w:cs="仿宋" w:hint="eastAsia"/>
          <w:bCs/>
          <w:sz w:val="32"/>
          <w:szCs w:val="32"/>
        </w:rPr>
        <w:t>万元，完成年初预算的</w:t>
      </w:r>
      <w:r>
        <w:rPr>
          <w:rFonts w:ascii="仿宋" w:eastAsia="仿宋" w:hAnsi="仿宋" w:cs="仿宋" w:hint="eastAsia"/>
          <w:bCs/>
          <w:sz w:val="32"/>
          <w:szCs w:val="32"/>
        </w:rPr>
        <w:t>100 %</w:t>
      </w:r>
      <w:r>
        <w:rPr>
          <w:rFonts w:ascii="仿宋" w:eastAsia="仿宋" w:hAnsi="仿宋" w:cs="仿宋" w:hint="eastAsia"/>
          <w:bCs/>
          <w:sz w:val="32"/>
          <w:szCs w:val="32"/>
        </w:rPr>
        <w:t>，其中：一般公共服务（类）年初预算为</w:t>
      </w:r>
      <w:r>
        <w:rPr>
          <w:rFonts w:ascii="仿宋" w:eastAsia="仿宋" w:hAnsi="仿宋" w:cs="仿宋" w:hint="eastAsia"/>
          <w:bCs/>
          <w:sz w:val="32"/>
          <w:szCs w:val="32"/>
        </w:rPr>
        <w:t>601.36</w:t>
      </w:r>
      <w:r>
        <w:rPr>
          <w:rFonts w:ascii="仿宋" w:eastAsia="仿宋" w:hAnsi="仿宋" w:cs="仿宋" w:hint="eastAsia"/>
          <w:bCs/>
          <w:sz w:val="32"/>
          <w:szCs w:val="32"/>
        </w:rPr>
        <w:t>万元，支出决算为</w:t>
      </w:r>
      <w:r>
        <w:rPr>
          <w:rFonts w:ascii="仿宋" w:eastAsia="仿宋" w:hAnsi="仿宋" w:cs="仿宋" w:hint="eastAsia"/>
          <w:bCs/>
          <w:sz w:val="32"/>
          <w:szCs w:val="32"/>
        </w:rPr>
        <w:t>601.36</w:t>
      </w:r>
      <w:r>
        <w:rPr>
          <w:rFonts w:ascii="仿宋" w:eastAsia="仿宋" w:hAnsi="仿宋" w:cs="仿宋" w:hint="eastAsia"/>
          <w:bCs/>
          <w:sz w:val="32"/>
          <w:szCs w:val="32"/>
        </w:rPr>
        <w:t>万元，完成年初预算的</w:t>
      </w:r>
      <w:r>
        <w:rPr>
          <w:rFonts w:ascii="仿宋" w:eastAsia="仿宋" w:hAnsi="仿宋" w:cs="仿宋" w:hint="eastAsia"/>
          <w:bCs/>
          <w:sz w:val="32"/>
          <w:szCs w:val="32"/>
        </w:rPr>
        <w:t>100%</w:t>
      </w:r>
      <w:r>
        <w:rPr>
          <w:rFonts w:ascii="仿宋" w:eastAsia="仿宋" w:hAnsi="仿宋" w:cs="仿宋" w:hint="eastAsia"/>
          <w:bCs/>
          <w:sz w:val="32"/>
          <w:szCs w:val="32"/>
        </w:rPr>
        <w:t>。</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一般公共预算财政拨款基本支出决算情况说明</w:t>
      </w:r>
    </w:p>
    <w:p w:rsidR="00F70358" w:rsidRDefault="00D811D7">
      <w:pPr>
        <w:snapToGrid w:val="0"/>
        <w:spacing w:line="520" w:lineRule="exact"/>
        <w:jc w:val="left"/>
        <w:rPr>
          <w:rFonts w:ascii="黑体" w:eastAsia="黑体" w:hAnsi="黑体" w:cs="黑体"/>
          <w:bCs/>
          <w:sz w:val="32"/>
          <w:szCs w:val="32"/>
        </w:rPr>
      </w:pPr>
      <w:r>
        <w:rPr>
          <w:rFonts w:ascii="仿宋" w:eastAsia="仿宋" w:hAnsi="仿宋" w:cs="仿宋" w:hint="eastAsia"/>
          <w:bCs/>
          <w:sz w:val="32"/>
          <w:szCs w:val="32"/>
        </w:rPr>
        <w:t xml:space="preserve"> 2023</w:t>
      </w:r>
      <w:r>
        <w:rPr>
          <w:rFonts w:ascii="仿宋" w:eastAsia="仿宋" w:hAnsi="仿宋" w:cs="仿宋" w:hint="eastAsia"/>
          <w:bCs/>
          <w:sz w:val="32"/>
          <w:szCs w:val="32"/>
        </w:rPr>
        <w:t>年度财政拨款基本支出</w:t>
      </w:r>
      <w:r>
        <w:rPr>
          <w:rFonts w:ascii="仿宋" w:eastAsia="仿宋" w:hAnsi="仿宋" w:cs="仿宋" w:hint="eastAsia"/>
          <w:bCs/>
          <w:sz w:val="32"/>
          <w:szCs w:val="32"/>
        </w:rPr>
        <w:t>443.32</w:t>
      </w:r>
      <w:r>
        <w:rPr>
          <w:rFonts w:ascii="仿宋" w:eastAsia="仿宋" w:hAnsi="仿宋" w:cs="仿宋" w:hint="eastAsia"/>
          <w:bCs/>
          <w:sz w:val="32"/>
          <w:szCs w:val="32"/>
        </w:rPr>
        <w:t>万元，其中：人员经费</w:t>
      </w:r>
      <w:r>
        <w:rPr>
          <w:rFonts w:ascii="仿宋" w:eastAsia="仿宋" w:hAnsi="仿宋" w:cs="仿宋" w:hint="eastAsia"/>
          <w:bCs/>
          <w:sz w:val="32"/>
          <w:szCs w:val="32"/>
        </w:rPr>
        <w:t>443.32</w:t>
      </w:r>
      <w:r>
        <w:rPr>
          <w:rFonts w:ascii="仿宋" w:eastAsia="仿宋" w:hAnsi="仿宋" w:cs="仿宋" w:hint="eastAsia"/>
          <w:bCs/>
          <w:sz w:val="32"/>
          <w:szCs w:val="32"/>
        </w:rPr>
        <w:t>万元，占基本支出的</w:t>
      </w:r>
      <w:r>
        <w:rPr>
          <w:rFonts w:ascii="仿宋" w:eastAsia="仿宋" w:hAnsi="仿宋" w:cs="仿宋" w:hint="eastAsia"/>
          <w:bCs/>
          <w:sz w:val="32"/>
          <w:szCs w:val="32"/>
        </w:rPr>
        <w:t>100%</w:t>
      </w:r>
      <w:r>
        <w:rPr>
          <w:rFonts w:ascii="仿宋" w:eastAsia="仿宋" w:hAnsi="仿宋" w:cs="仿宋" w:hint="eastAsia"/>
          <w:bCs/>
          <w:sz w:val="32"/>
          <w:szCs w:val="32"/>
        </w:rPr>
        <w:t>，主要包括基本工资、绩效工资、奖金、伙食补助费、机关事业单位基本养老保险缴费、其他社会保障缴费、住房公积金。</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财政拨</w:t>
      </w:r>
      <w:r>
        <w:rPr>
          <w:rFonts w:ascii="黑体" w:eastAsia="黑体" w:hAnsi="黑体" w:cs="黑体" w:hint="eastAsia"/>
          <w:bCs/>
          <w:sz w:val="32"/>
          <w:szCs w:val="32"/>
        </w:rPr>
        <w:t>款三公经费支出决算情况说明</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年度“三公”经费无预算支出。</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政府性基金预算收入支出决算情况</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2023</w:t>
      </w:r>
      <w:r>
        <w:rPr>
          <w:rFonts w:ascii="仿宋" w:eastAsia="仿宋" w:hAnsi="仿宋" w:cs="仿宋" w:hint="eastAsia"/>
          <w:bCs/>
          <w:sz w:val="32"/>
          <w:szCs w:val="32"/>
        </w:rPr>
        <w:t>年度政府性基金预算财政拨款收入</w:t>
      </w:r>
      <w:r>
        <w:rPr>
          <w:rFonts w:ascii="仿宋" w:eastAsia="仿宋" w:hAnsi="仿宋" w:cs="仿宋" w:hint="eastAsia"/>
          <w:bCs/>
          <w:sz w:val="32"/>
          <w:szCs w:val="32"/>
        </w:rPr>
        <w:t>18.51</w:t>
      </w:r>
      <w:r>
        <w:rPr>
          <w:rFonts w:ascii="仿宋" w:eastAsia="仿宋" w:hAnsi="仿宋" w:cs="仿宋" w:hint="eastAsia"/>
          <w:bCs/>
          <w:sz w:val="32"/>
          <w:szCs w:val="32"/>
        </w:rPr>
        <w:t>万元；年初结转和结余</w:t>
      </w:r>
      <w:r>
        <w:rPr>
          <w:rFonts w:ascii="仿宋" w:eastAsia="仿宋" w:hAnsi="仿宋" w:cs="仿宋" w:hint="eastAsia"/>
          <w:bCs/>
          <w:sz w:val="32"/>
          <w:szCs w:val="32"/>
        </w:rPr>
        <w:t>0</w:t>
      </w:r>
      <w:r>
        <w:rPr>
          <w:rFonts w:ascii="仿宋" w:eastAsia="仿宋" w:hAnsi="仿宋" w:cs="仿宋" w:hint="eastAsia"/>
          <w:bCs/>
          <w:sz w:val="32"/>
          <w:szCs w:val="32"/>
        </w:rPr>
        <w:t>万元；支出</w:t>
      </w:r>
      <w:r>
        <w:rPr>
          <w:rFonts w:ascii="仿宋" w:eastAsia="仿宋" w:hAnsi="仿宋" w:cs="仿宋" w:hint="eastAsia"/>
          <w:bCs/>
          <w:sz w:val="32"/>
          <w:szCs w:val="32"/>
        </w:rPr>
        <w:t>18.51</w:t>
      </w:r>
      <w:r>
        <w:rPr>
          <w:rFonts w:ascii="仿宋" w:eastAsia="仿宋" w:hAnsi="仿宋" w:cs="仿宋" w:hint="eastAsia"/>
          <w:bCs/>
          <w:sz w:val="32"/>
          <w:szCs w:val="32"/>
        </w:rPr>
        <w:t>万元，其中项目</w:t>
      </w:r>
      <w:r>
        <w:rPr>
          <w:rFonts w:ascii="仿宋" w:eastAsia="仿宋" w:hAnsi="仿宋" w:cs="仿宋" w:hint="eastAsia"/>
          <w:bCs/>
          <w:sz w:val="32"/>
          <w:szCs w:val="32"/>
        </w:rPr>
        <w:t>18.51</w:t>
      </w:r>
      <w:r>
        <w:rPr>
          <w:rFonts w:ascii="仿宋" w:eastAsia="仿宋" w:hAnsi="仿宋" w:cs="仿宋" w:hint="eastAsia"/>
          <w:bCs/>
          <w:sz w:val="32"/>
          <w:szCs w:val="32"/>
        </w:rPr>
        <w:t>万元；年末结转和结余</w:t>
      </w:r>
      <w:r>
        <w:rPr>
          <w:rFonts w:ascii="仿宋" w:eastAsia="仿宋" w:hAnsi="仿宋" w:cs="仿宋" w:hint="eastAsia"/>
          <w:bCs/>
          <w:sz w:val="32"/>
          <w:szCs w:val="32"/>
        </w:rPr>
        <w:t>0</w:t>
      </w:r>
      <w:r>
        <w:rPr>
          <w:rFonts w:ascii="仿宋" w:eastAsia="仿宋" w:hAnsi="仿宋" w:cs="仿宋" w:hint="eastAsia"/>
          <w:bCs/>
          <w:sz w:val="32"/>
          <w:szCs w:val="32"/>
        </w:rPr>
        <w:t>万元。</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关于机关运行经费支出说明</w:t>
      </w:r>
    </w:p>
    <w:p w:rsidR="00F70358" w:rsidRDefault="00D811D7">
      <w:pPr>
        <w:snapToGrid w:val="0"/>
        <w:spacing w:line="520" w:lineRule="exact"/>
        <w:jc w:val="left"/>
        <w:rPr>
          <w:rFonts w:ascii="仿宋" w:eastAsia="仿宋" w:hAnsi="仿宋" w:cs="仿宋"/>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无。</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一般性支出情况说明</w:t>
      </w:r>
    </w:p>
    <w:p w:rsidR="00F70358" w:rsidRDefault="00D811D7">
      <w:pPr>
        <w:snapToGrid w:val="0"/>
        <w:spacing w:line="520" w:lineRule="exact"/>
        <w:jc w:val="left"/>
        <w:rPr>
          <w:rFonts w:ascii="仿宋" w:eastAsia="仿宋" w:hAnsi="仿宋" w:cs="仿宋"/>
          <w:bCs/>
          <w:sz w:val="32"/>
          <w:szCs w:val="32"/>
        </w:rPr>
      </w:pPr>
      <w:r>
        <w:rPr>
          <w:rFonts w:ascii="黑体" w:eastAsia="黑体" w:hAnsi="黑体" w:cs="黑体" w:hint="eastAsia"/>
          <w:bCs/>
          <w:sz w:val="32"/>
          <w:szCs w:val="32"/>
        </w:rPr>
        <w:t xml:space="preserve">    </w:t>
      </w:r>
      <w:r>
        <w:rPr>
          <w:rFonts w:ascii="黑体" w:eastAsia="黑体" w:hAnsi="黑体" w:cs="黑体" w:hint="eastAsia"/>
          <w:bCs/>
          <w:sz w:val="32"/>
          <w:szCs w:val="32"/>
        </w:rPr>
        <w:t>无</w:t>
      </w:r>
      <w:r>
        <w:rPr>
          <w:rFonts w:ascii="仿宋" w:eastAsia="仿宋" w:hAnsi="仿宋" w:cs="仿宋" w:hint="eastAsia"/>
          <w:bCs/>
          <w:sz w:val="32"/>
          <w:szCs w:val="32"/>
        </w:rPr>
        <w:t>。</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关于政府采购支出说明</w:t>
      </w:r>
    </w:p>
    <w:p w:rsidR="00F70358" w:rsidRDefault="0001126D">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 xml:space="preserve">    </w:t>
      </w:r>
      <w:r w:rsidR="00D811D7">
        <w:rPr>
          <w:rFonts w:ascii="仿宋" w:eastAsia="仿宋" w:hAnsi="仿宋" w:cs="仿宋" w:hint="eastAsia"/>
          <w:bCs/>
          <w:sz w:val="32"/>
          <w:szCs w:val="32"/>
        </w:rPr>
        <w:t>无。</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关于国有资产占用情况说明</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截止</w:t>
      </w:r>
      <w:r>
        <w:rPr>
          <w:rFonts w:ascii="仿宋" w:eastAsia="仿宋" w:hAnsi="仿宋" w:cs="仿宋" w:hint="eastAsia"/>
          <w:bCs/>
          <w:sz w:val="32"/>
          <w:szCs w:val="32"/>
        </w:rPr>
        <w:t>2023</w:t>
      </w:r>
      <w:r>
        <w:rPr>
          <w:rFonts w:ascii="仿宋" w:eastAsia="仿宋" w:hAnsi="仿宋" w:cs="仿宋" w:hint="eastAsia"/>
          <w:bCs/>
          <w:sz w:val="32"/>
          <w:szCs w:val="32"/>
        </w:rPr>
        <w:t>年</w:t>
      </w:r>
      <w:r>
        <w:rPr>
          <w:rFonts w:ascii="仿宋" w:eastAsia="仿宋" w:hAnsi="仿宋" w:cs="仿宋" w:hint="eastAsia"/>
          <w:bCs/>
          <w:sz w:val="32"/>
          <w:szCs w:val="32"/>
        </w:rPr>
        <w:t>12</w:t>
      </w:r>
      <w:r>
        <w:rPr>
          <w:rFonts w:ascii="仿宋" w:eastAsia="仿宋" w:hAnsi="仿宋" w:cs="仿宋" w:hint="eastAsia"/>
          <w:bCs/>
          <w:sz w:val="32"/>
          <w:szCs w:val="32"/>
        </w:rPr>
        <w:t>月</w:t>
      </w:r>
      <w:r>
        <w:rPr>
          <w:rFonts w:ascii="仿宋" w:eastAsia="仿宋" w:hAnsi="仿宋" w:cs="仿宋" w:hint="eastAsia"/>
          <w:bCs/>
          <w:sz w:val="32"/>
          <w:szCs w:val="32"/>
        </w:rPr>
        <w:t>31</w:t>
      </w:r>
      <w:r>
        <w:rPr>
          <w:rFonts w:ascii="仿宋" w:eastAsia="仿宋" w:hAnsi="仿宋" w:cs="仿宋" w:hint="eastAsia"/>
          <w:bCs/>
          <w:sz w:val="32"/>
          <w:szCs w:val="32"/>
        </w:rPr>
        <w:t>日，部门（单位）共有车辆</w:t>
      </w:r>
      <w:r>
        <w:rPr>
          <w:rFonts w:ascii="仿宋" w:eastAsia="仿宋" w:hAnsi="仿宋" w:cs="仿宋" w:hint="eastAsia"/>
          <w:bCs/>
          <w:sz w:val="32"/>
          <w:szCs w:val="32"/>
        </w:rPr>
        <w:t>0</w:t>
      </w:r>
      <w:r>
        <w:rPr>
          <w:rFonts w:ascii="仿宋" w:eastAsia="仿宋" w:hAnsi="仿宋" w:cs="仿宋" w:hint="eastAsia"/>
          <w:bCs/>
          <w:sz w:val="32"/>
          <w:szCs w:val="32"/>
        </w:rPr>
        <w:t>辆；单位价值</w:t>
      </w:r>
      <w:r>
        <w:rPr>
          <w:rFonts w:ascii="仿宋" w:eastAsia="仿宋" w:hAnsi="仿宋" w:cs="仿宋" w:hint="eastAsia"/>
          <w:bCs/>
          <w:sz w:val="32"/>
          <w:szCs w:val="32"/>
        </w:rPr>
        <w:t>100</w:t>
      </w:r>
      <w:r>
        <w:rPr>
          <w:rFonts w:ascii="仿宋" w:eastAsia="仿宋" w:hAnsi="仿宋" w:cs="仿宋" w:hint="eastAsia"/>
          <w:bCs/>
          <w:sz w:val="32"/>
          <w:szCs w:val="32"/>
        </w:rPr>
        <w:t>万元已上设备（不含车辆）无。</w:t>
      </w:r>
    </w:p>
    <w:p w:rsidR="00F70358" w:rsidRDefault="00D811D7">
      <w:pPr>
        <w:numPr>
          <w:ilvl w:val="0"/>
          <w:numId w:val="3"/>
        </w:numPr>
        <w:snapToGrid w:val="0"/>
        <w:spacing w:line="52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关于</w:t>
      </w:r>
      <w:r>
        <w:rPr>
          <w:rFonts w:ascii="黑体" w:eastAsia="黑体" w:hAnsi="黑体" w:cs="黑体" w:hint="eastAsia"/>
          <w:bCs/>
          <w:sz w:val="32"/>
          <w:szCs w:val="32"/>
        </w:rPr>
        <w:t>2023</w:t>
      </w:r>
      <w:r>
        <w:rPr>
          <w:rFonts w:ascii="黑体" w:eastAsia="黑体" w:hAnsi="黑体" w:cs="黑体" w:hint="eastAsia"/>
          <w:bCs/>
          <w:sz w:val="32"/>
          <w:szCs w:val="32"/>
        </w:rPr>
        <w:t>年度预算绩效情况的说明</w:t>
      </w:r>
    </w:p>
    <w:p w:rsidR="00F70358" w:rsidRDefault="00D811D7">
      <w:pPr>
        <w:numPr>
          <w:ilvl w:val="0"/>
          <w:numId w:val="5"/>
        </w:numPr>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lastRenderedPageBreak/>
        <w:t>绩效管理</w:t>
      </w:r>
      <w:r>
        <w:rPr>
          <w:rFonts w:ascii="黑体" w:eastAsia="黑体" w:hAnsi="黑体" w:cs="黑体" w:hint="eastAsia"/>
          <w:bCs/>
          <w:sz w:val="32"/>
          <w:szCs w:val="32"/>
        </w:rPr>
        <w:t>工作开展情况</w:t>
      </w:r>
    </w:p>
    <w:p w:rsidR="00F70358" w:rsidRDefault="00D811D7">
      <w:pPr>
        <w:snapToGrid w:val="0"/>
        <w:spacing w:line="520" w:lineRule="exact"/>
        <w:jc w:val="left"/>
        <w:rPr>
          <w:rFonts w:ascii="仿宋" w:eastAsia="仿宋" w:hAnsi="仿宋" w:cs="仿宋"/>
          <w:bCs/>
          <w:sz w:val="32"/>
          <w:szCs w:val="32"/>
        </w:rPr>
      </w:pPr>
      <w:r>
        <w:rPr>
          <w:rFonts w:ascii="仿宋" w:eastAsia="仿宋" w:hAnsi="仿宋" w:cs="仿宋" w:hint="eastAsia"/>
          <w:bCs/>
          <w:sz w:val="32"/>
          <w:szCs w:val="32"/>
        </w:rPr>
        <w:t>本单位对专项资金进行了绩效管理，年初进行绩效目标填报，年中对绩效目标执行进行监测，然后绩效自评。</w:t>
      </w:r>
    </w:p>
    <w:p w:rsidR="00F70358" w:rsidRDefault="00D811D7">
      <w:pPr>
        <w:numPr>
          <w:ilvl w:val="0"/>
          <w:numId w:val="5"/>
        </w:numPr>
        <w:snapToGrid w:val="0"/>
        <w:spacing w:line="520" w:lineRule="exact"/>
        <w:jc w:val="left"/>
        <w:rPr>
          <w:rFonts w:ascii="黑体" w:eastAsia="黑体" w:hAnsi="黑体" w:cs="黑体"/>
          <w:bCs/>
          <w:sz w:val="32"/>
          <w:szCs w:val="32"/>
        </w:rPr>
      </w:pPr>
      <w:r>
        <w:rPr>
          <w:rFonts w:ascii="黑体" w:eastAsia="黑体" w:hAnsi="黑体" w:cs="黑体" w:hint="eastAsia"/>
          <w:bCs/>
          <w:sz w:val="32"/>
          <w:szCs w:val="32"/>
        </w:rPr>
        <w:t>部门（单位）整体支出绩效情况</w:t>
      </w:r>
    </w:p>
    <w:p w:rsidR="00F70358" w:rsidRDefault="00D811D7">
      <w:pPr>
        <w:tabs>
          <w:tab w:val="left" w:pos="910"/>
        </w:tabs>
        <w:ind w:firstLineChars="200" w:firstLine="640"/>
        <w:rPr>
          <w:rFonts w:ascii="仿宋" w:eastAsia="仿宋" w:hAnsi="仿宋"/>
          <w:color w:val="222222"/>
          <w:kern w:val="0"/>
          <w:sz w:val="32"/>
          <w:szCs w:val="32"/>
        </w:rPr>
      </w:pPr>
      <w:r>
        <w:rPr>
          <w:rFonts w:ascii="仿宋" w:eastAsia="仿宋" w:hAnsi="仿宋" w:hint="eastAsia"/>
          <w:color w:val="222222"/>
          <w:kern w:val="0"/>
          <w:sz w:val="32"/>
          <w:szCs w:val="32"/>
        </w:rPr>
        <w:t>1</w:t>
      </w:r>
      <w:r>
        <w:rPr>
          <w:rFonts w:ascii="仿宋" w:eastAsia="仿宋" w:hAnsi="仿宋" w:hint="eastAsia"/>
          <w:color w:val="222222"/>
          <w:kern w:val="0"/>
          <w:sz w:val="32"/>
          <w:szCs w:val="32"/>
        </w:rPr>
        <w:t>、</w:t>
      </w:r>
      <w:r>
        <w:rPr>
          <w:rFonts w:ascii="仿宋" w:eastAsia="仿宋" w:hAnsi="仿宋" w:hint="eastAsia"/>
          <w:color w:val="222222"/>
          <w:kern w:val="0"/>
          <w:sz w:val="32"/>
          <w:szCs w:val="32"/>
        </w:rPr>
        <w:t>在评价过程中，结合我单位的实际情况，实施了包括</w:t>
      </w:r>
      <w:r>
        <w:rPr>
          <w:rFonts w:ascii="仿宋" w:eastAsia="仿宋" w:hAnsi="仿宋" w:hint="eastAsia"/>
          <w:color w:val="000000"/>
          <w:sz w:val="32"/>
          <w:szCs w:val="32"/>
          <w:shd w:val="clear" w:color="auto" w:fill="FFFFFF"/>
        </w:rPr>
        <w:t>收集基础资料、财政资金绩效目标及其设立依据和调整情况、管理措施及组织实施情况</w:t>
      </w:r>
      <w:r>
        <w:rPr>
          <w:rFonts w:ascii="仿宋" w:eastAsia="仿宋" w:hAnsi="仿宋" w:hint="eastAsia"/>
          <w:color w:val="222222"/>
          <w:kern w:val="0"/>
          <w:sz w:val="32"/>
          <w:szCs w:val="32"/>
        </w:rPr>
        <w:t>，进行了各项评价，一级项目和二级项目均已完成。</w:t>
      </w:r>
    </w:p>
    <w:p w:rsidR="00F70358" w:rsidRDefault="00D811D7">
      <w:pPr>
        <w:widowControl/>
        <w:spacing w:line="560" w:lineRule="exact"/>
        <w:ind w:firstLine="640"/>
        <w:rPr>
          <w:rFonts w:ascii="仿宋" w:eastAsia="仿宋" w:hAnsi="仿宋"/>
          <w:color w:val="000000"/>
          <w:sz w:val="32"/>
          <w:szCs w:val="32"/>
          <w:shd w:val="clear" w:color="auto" w:fill="FFFFFF"/>
        </w:rPr>
      </w:pPr>
      <w:r>
        <w:rPr>
          <w:rFonts w:ascii="仿宋" w:eastAsia="仿宋" w:hAnsi="仿宋" w:hint="eastAsia"/>
          <w:color w:val="222222"/>
          <w:kern w:val="0"/>
          <w:sz w:val="32"/>
          <w:szCs w:val="32"/>
        </w:rPr>
        <w:t>2</w:t>
      </w:r>
      <w:r>
        <w:rPr>
          <w:rFonts w:ascii="仿宋" w:eastAsia="仿宋" w:hAnsi="仿宋" w:hint="eastAsia"/>
          <w:color w:val="222222"/>
          <w:kern w:val="0"/>
          <w:sz w:val="32"/>
          <w:szCs w:val="32"/>
        </w:rPr>
        <w:t>、</w:t>
      </w:r>
      <w:r>
        <w:rPr>
          <w:rFonts w:ascii="仿宋" w:eastAsia="仿宋" w:hAnsi="仿宋" w:hint="eastAsia"/>
          <w:color w:val="000000"/>
          <w:sz w:val="32"/>
          <w:szCs w:val="32"/>
          <w:shd w:val="clear" w:color="auto" w:fill="FFFFFF"/>
        </w:rPr>
        <w:t>结合我</w:t>
      </w:r>
      <w:r>
        <w:rPr>
          <w:rFonts w:ascii="仿宋" w:eastAsia="仿宋" w:hAnsi="仿宋" w:hint="eastAsia"/>
          <w:color w:val="000000"/>
          <w:sz w:val="32"/>
          <w:szCs w:val="32"/>
          <w:shd w:val="clear" w:color="auto" w:fill="FFFFFF"/>
        </w:rPr>
        <w:t>垸</w:t>
      </w:r>
      <w:r>
        <w:rPr>
          <w:rFonts w:ascii="仿宋" w:eastAsia="仿宋" w:hAnsi="仿宋" w:hint="eastAsia"/>
          <w:color w:val="000000"/>
          <w:sz w:val="32"/>
          <w:szCs w:val="32"/>
          <w:shd w:val="clear" w:color="auto" w:fill="FFFFFF"/>
        </w:rPr>
        <w:t>实际情况，客观公正的根据预算部门整体支出管理绩效目标自评对我</w:t>
      </w:r>
      <w:r>
        <w:rPr>
          <w:rFonts w:ascii="仿宋" w:eastAsia="仿宋" w:hAnsi="仿宋" w:hint="eastAsia"/>
          <w:color w:val="000000"/>
          <w:sz w:val="32"/>
          <w:szCs w:val="32"/>
          <w:shd w:val="clear" w:color="auto" w:fill="FFFFFF"/>
        </w:rPr>
        <w:t>垸</w:t>
      </w:r>
      <w:r>
        <w:rPr>
          <w:rFonts w:ascii="仿宋" w:eastAsia="仿宋" w:hAnsi="仿宋" w:hint="eastAsia"/>
          <w:color w:val="000000"/>
          <w:sz w:val="32"/>
          <w:szCs w:val="32"/>
          <w:shd w:val="clear" w:color="auto" w:fill="FFFFFF"/>
        </w:rPr>
        <w:t>进行评分，综合得分</w:t>
      </w:r>
      <w:r>
        <w:rPr>
          <w:rFonts w:ascii="仿宋" w:eastAsia="仿宋" w:hAnsi="仿宋" w:hint="eastAsia"/>
          <w:color w:val="000000"/>
          <w:sz w:val="32"/>
          <w:szCs w:val="32"/>
          <w:shd w:val="clear" w:color="auto" w:fill="FFFFFF"/>
        </w:rPr>
        <w:t>95</w:t>
      </w:r>
      <w:r>
        <w:rPr>
          <w:rFonts w:ascii="仿宋" w:eastAsia="仿宋" w:hAnsi="仿宋" w:hint="eastAsia"/>
          <w:color w:val="000000"/>
          <w:sz w:val="32"/>
          <w:szCs w:val="32"/>
          <w:shd w:val="clear" w:color="auto" w:fill="FFFFFF"/>
        </w:rPr>
        <w:t>分，部门整体支出绩效自评为“优”。</w:t>
      </w:r>
    </w:p>
    <w:p w:rsidR="00F70358" w:rsidRDefault="00D811D7">
      <w:pPr>
        <w:snapToGrid w:val="0"/>
        <w:spacing w:line="520" w:lineRule="exact"/>
        <w:ind w:firstLineChars="200" w:firstLine="640"/>
        <w:jc w:val="left"/>
        <w:rPr>
          <w:rFonts w:ascii="黑体" w:eastAsia="黑体" w:hAnsi="黑体" w:cs="黑体"/>
          <w:bCs/>
          <w:sz w:val="32"/>
          <w:szCs w:val="32"/>
        </w:rPr>
      </w:pPr>
      <w:r>
        <w:rPr>
          <w:rFonts w:ascii="仿宋_GB2312" w:eastAsia="仿宋_GB2312" w:hint="eastAsia"/>
          <w:color w:val="000000"/>
          <w:sz w:val="32"/>
          <w:szCs w:val="32"/>
          <w:shd w:val="clear" w:color="auto" w:fill="FFFFFF"/>
        </w:rPr>
        <w:t>3</w:t>
      </w:r>
      <w:r>
        <w:rPr>
          <w:rFonts w:ascii="仿宋_GB2312" w:eastAsia="仿宋_GB2312" w:hint="eastAsia"/>
          <w:color w:val="000000"/>
          <w:sz w:val="32"/>
          <w:szCs w:val="32"/>
          <w:shd w:val="clear" w:color="auto" w:fill="FFFFFF"/>
        </w:rPr>
        <w:t>、有关建议，</w:t>
      </w:r>
      <w:r>
        <w:rPr>
          <w:rFonts w:ascii="仿宋" w:eastAsia="仿宋" w:hAnsi="仿宋" w:cs="宋体" w:hint="eastAsia"/>
          <w:bCs/>
          <w:color w:val="010101"/>
          <w:kern w:val="0"/>
          <w:sz w:val="32"/>
          <w:szCs w:val="32"/>
        </w:rPr>
        <w:t>加强新事业单位会计制度和新预算法学习培训</w:t>
      </w:r>
      <w:r>
        <w:rPr>
          <w:rFonts w:ascii="仿宋" w:eastAsia="仿宋" w:hAnsi="仿宋" w:cs="宋体" w:hint="eastAsia"/>
          <w:color w:val="010101"/>
          <w:kern w:val="0"/>
          <w:sz w:val="32"/>
          <w:szCs w:val="32"/>
        </w:rPr>
        <w:t xml:space="preserve"> </w:t>
      </w:r>
      <w:r>
        <w:rPr>
          <w:rFonts w:ascii="仿宋" w:eastAsia="仿宋" w:hAnsi="仿宋" w:cs="宋体" w:hint="eastAsia"/>
          <w:color w:val="010101"/>
          <w:kern w:val="0"/>
          <w:sz w:val="32"/>
          <w:szCs w:val="32"/>
        </w:rPr>
        <w:t>。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F70358" w:rsidRDefault="00D811D7">
      <w:pPr>
        <w:snapToGrid w:val="0"/>
        <w:spacing w:line="520" w:lineRule="exact"/>
        <w:ind w:firstLine="640"/>
        <w:jc w:val="left"/>
        <w:rPr>
          <w:rFonts w:ascii="黑体" w:eastAsia="黑体" w:hAnsi="黑体" w:cs="黑体"/>
          <w:bCs/>
          <w:sz w:val="32"/>
          <w:szCs w:val="32"/>
        </w:rPr>
      </w:pPr>
      <w:r>
        <w:rPr>
          <w:rFonts w:ascii="黑体" w:eastAsia="黑体" w:hAnsi="黑体" w:cs="黑体" w:hint="eastAsia"/>
          <w:bCs/>
          <w:sz w:val="32"/>
          <w:szCs w:val="32"/>
        </w:rPr>
        <w:t>（三）存在的问题及原因分析</w:t>
      </w:r>
    </w:p>
    <w:p w:rsidR="00F70358" w:rsidRDefault="00D811D7">
      <w:pPr>
        <w:snapToGrid w:val="0"/>
        <w:spacing w:line="520" w:lineRule="exact"/>
        <w:ind w:firstLine="640"/>
        <w:jc w:val="left"/>
        <w:rPr>
          <w:rFonts w:ascii="仿宋" w:eastAsia="仿宋" w:hAnsi="仿宋" w:cs="仿宋"/>
          <w:bCs/>
          <w:sz w:val="32"/>
          <w:szCs w:val="32"/>
        </w:rPr>
      </w:pPr>
      <w:r>
        <w:rPr>
          <w:rFonts w:ascii="仿宋" w:eastAsia="仿宋" w:hAnsi="仿宋" w:cs="仿宋" w:hint="eastAsia"/>
          <w:bCs/>
          <w:sz w:val="32"/>
          <w:szCs w:val="32"/>
        </w:rPr>
        <w:t>绩效目标、绩效指标设置不够细化和量化，指标值用“完成”、“</w:t>
      </w:r>
      <w:r>
        <w:rPr>
          <w:rFonts w:ascii="仿宋" w:eastAsia="仿宋" w:hAnsi="仿宋" w:cs="仿宋" w:hint="eastAsia"/>
          <w:bCs/>
          <w:sz w:val="32"/>
          <w:szCs w:val="32"/>
        </w:rPr>
        <w:t>100%</w:t>
      </w:r>
      <w:r>
        <w:rPr>
          <w:rFonts w:ascii="仿宋" w:eastAsia="仿宋" w:hAnsi="仿宋" w:cs="仿宋" w:hint="eastAsia"/>
          <w:bCs/>
          <w:sz w:val="32"/>
          <w:szCs w:val="32"/>
        </w:rPr>
        <w:t>”等表示，无法反映项目的产出规模以及目标与预算的匹配性。</w:t>
      </w:r>
      <w:bookmarkStart w:id="3" w:name="_GoBack"/>
      <w:bookmarkEnd w:id="3"/>
    </w:p>
    <w:p w:rsidR="00F70358" w:rsidRDefault="00F70358">
      <w:pPr>
        <w:snapToGrid w:val="0"/>
        <w:spacing w:line="520" w:lineRule="exact"/>
        <w:jc w:val="left"/>
        <w:rPr>
          <w:rFonts w:ascii="黑体" w:eastAsia="黑体" w:hAnsi="黑体" w:cs="黑体"/>
          <w:bCs/>
          <w:sz w:val="32"/>
          <w:szCs w:val="32"/>
        </w:rPr>
      </w:pP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t>第四部分</w:t>
      </w: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t>名词解释</w:t>
      </w:r>
    </w:p>
    <w:p w:rsidR="00F70358" w:rsidRDefault="00F70358">
      <w:pPr>
        <w:snapToGrid w:val="0"/>
        <w:spacing w:line="520" w:lineRule="exact"/>
        <w:rPr>
          <w:rFonts w:ascii="黑体" w:eastAsia="黑体" w:hAnsi="黑体" w:cs="黑体"/>
          <w:bCs/>
          <w:sz w:val="32"/>
          <w:szCs w:val="32"/>
        </w:rPr>
      </w:pP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t>第五部分</w:t>
      </w:r>
    </w:p>
    <w:p w:rsidR="00F70358" w:rsidRDefault="00D811D7">
      <w:pPr>
        <w:snapToGrid w:val="0"/>
        <w:spacing w:line="520" w:lineRule="exact"/>
        <w:jc w:val="center"/>
        <w:rPr>
          <w:rFonts w:ascii="黑体" w:eastAsia="黑体" w:hAnsi="黑体" w:cs="黑体"/>
          <w:bCs/>
          <w:sz w:val="32"/>
          <w:szCs w:val="32"/>
        </w:rPr>
      </w:pPr>
      <w:r>
        <w:rPr>
          <w:rFonts w:ascii="黑体" w:eastAsia="黑体" w:hAnsi="黑体" w:cs="黑体" w:hint="eastAsia"/>
          <w:bCs/>
          <w:sz w:val="32"/>
          <w:szCs w:val="32"/>
        </w:rPr>
        <w:t>附</w:t>
      </w:r>
      <w:r>
        <w:rPr>
          <w:rFonts w:ascii="黑体" w:eastAsia="黑体" w:hAnsi="黑体" w:cs="黑体" w:hint="eastAsia"/>
          <w:bCs/>
          <w:sz w:val="32"/>
          <w:szCs w:val="32"/>
        </w:rPr>
        <w:t xml:space="preserve"> </w:t>
      </w:r>
      <w:r>
        <w:rPr>
          <w:rFonts w:ascii="黑体" w:eastAsia="黑体" w:hAnsi="黑体" w:cs="黑体" w:hint="eastAsia"/>
          <w:bCs/>
          <w:sz w:val="32"/>
          <w:szCs w:val="32"/>
        </w:rPr>
        <w:t>件</w:t>
      </w:r>
    </w:p>
    <w:sectPr w:rsidR="00F70358" w:rsidSect="00F7035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D7" w:rsidRDefault="00D811D7" w:rsidP="00F70358">
      <w:r>
        <w:separator/>
      </w:r>
    </w:p>
  </w:endnote>
  <w:endnote w:type="continuationSeparator" w:id="1">
    <w:p w:rsidR="00D811D7" w:rsidRDefault="00D811D7" w:rsidP="00F70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58" w:rsidRDefault="00F70358">
    <w:pPr>
      <w:pStyle w:val="a3"/>
      <w:jc w:val="center"/>
      <w:rPr>
        <w:rFonts w:ascii="Arial" w:hAnsi="Arial" w:cs="Arial"/>
        <w:sz w:val="24"/>
        <w:szCs w:val="24"/>
      </w:rPr>
    </w:pPr>
    <w:r>
      <w:rPr>
        <w:rFonts w:ascii="Arial" w:hAnsi="Arial" w:cs="Arial"/>
        <w:sz w:val="24"/>
        <w:szCs w:val="24"/>
      </w:rPr>
      <w:fldChar w:fldCharType="begin"/>
    </w:r>
    <w:r w:rsidR="00D811D7">
      <w:rPr>
        <w:rFonts w:ascii="Arial" w:hAnsi="Arial" w:cs="Arial"/>
        <w:sz w:val="24"/>
        <w:szCs w:val="24"/>
      </w:rPr>
      <w:instrText xml:space="preserve"> PAGE   \* MERGEFORMAT </w:instrText>
    </w:r>
    <w:r>
      <w:rPr>
        <w:rFonts w:ascii="Arial" w:hAnsi="Arial" w:cs="Arial"/>
        <w:sz w:val="24"/>
        <w:szCs w:val="24"/>
      </w:rPr>
      <w:fldChar w:fldCharType="separate"/>
    </w:r>
    <w:r w:rsidR="0001126D" w:rsidRPr="0001126D">
      <w:rPr>
        <w:rFonts w:ascii="Arial" w:hAnsi="Arial" w:cs="Arial"/>
        <w:noProof/>
        <w:sz w:val="24"/>
        <w:szCs w:val="24"/>
        <w:lang w:val="zh-CN"/>
      </w:rPr>
      <w:t>17</w:t>
    </w:r>
    <w:r>
      <w:rPr>
        <w:rFonts w:ascii="Arial" w:hAnsi="Arial" w:cs="Arial"/>
        <w:sz w:val="24"/>
        <w:szCs w:val="24"/>
      </w:rPr>
      <w:fldChar w:fldCharType="end"/>
    </w:r>
  </w:p>
  <w:p w:rsidR="00F70358" w:rsidRDefault="00F703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D7" w:rsidRDefault="00D811D7" w:rsidP="00F70358">
      <w:r>
        <w:separator/>
      </w:r>
    </w:p>
  </w:footnote>
  <w:footnote w:type="continuationSeparator" w:id="1">
    <w:p w:rsidR="00D811D7" w:rsidRDefault="00D811D7" w:rsidP="00F70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D07A56"/>
    <w:multiLevelType w:val="singleLevel"/>
    <w:tmpl w:val="98D07A56"/>
    <w:lvl w:ilvl="0">
      <w:start w:val="1"/>
      <w:numFmt w:val="chineseCounting"/>
      <w:suff w:val="nothing"/>
      <w:lvlText w:val="%1、"/>
      <w:lvlJc w:val="left"/>
      <w:rPr>
        <w:rFonts w:hint="eastAsia"/>
      </w:rPr>
    </w:lvl>
  </w:abstractNum>
  <w:abstractNum w:abstractNumId="1">
    <w:nsid w:val="A3BBF25B"/>
    <w:multiLevelType w:val="singleLevel"/>
    <w:tmpl w:val="A3BBF25B"/>
    <w:lvl w:ilvl="0">
      <w:start w:val="5"/>
      <w:numFmt w:val="chineseCounting"/>
      <w:suff w:val="space"/>
      <w:lvlText w:val="第%1部分"/>
      <w:lvlJc w:val="left"/>
      <w:rPr>
        <w:rFonts w:hint="eastAsia"/>
      </w:rPr>
    </w:lvl>
  </w:abstractNum>
  <w:abstractNum w:abstractNumId="2">
    <w:nsid w:val="F9E62184"/>
    <w:multiLevelType w:val="singleLevel"/>
    <w:tmpl w:val="F9E62184"/>
    <w:lvl w:ilvl="0">
      <w:start w:val="1"/>
      <w:numFmt w:val="chineseCounting"/>
      <w:suff w:val="nothing"/>
      <w:lvlText w:val="（%1）"/>
      <w:lvlJc w:val="left"/>
      <w:pPr>
        <w:ind w:left="640" w:firstLine="0"/>
      </w:pPr>
      <w:rPr>
        <w:rFonts w:hint="eastAsia"/>
      </w:rPr>
    </w:lvl>
  </w:abstractNum>
  <w:abstractNum w:abstractNumId="3">
    <w:nsid w:val="FEAA6D60"/>
    <w:multiLevelType w:val="singleLevel"/>
    <w:tmpl w:val="FEAA6D60"/>
    <w:lvl w:ilvl="0">
      <w:start w:val="1"/>
      <w:numFmt w:val="chineseCounting"/>
      <w:suff w:val="nothing"/>
      <w:lvlText w:val="%1、"/>
      <w:lvlJc w:val="left"/>
      <w:rPr>
        <w:rFonts w:hint="eastAsia"/>
      </w:rPr>
    </w:lvl>
  </w:abstractNum>
  <w:abstractNum w:abstractNumId="4">
    <w:nsid w:val="574D50FD"/>
    <w:multiLevelType w:val="singleLevel"/>
    <w:tmpl w:val="574D50FD"/>
    <w:lvl w:ilvl="0">
      <w:start w:val="1"/>
      <w:numFmt w:val="chineseCounting"/>
      <w:suff w:val="nothing"/>
      <w:lvlText w:val="（%1）"/>
      <w:lvlJc w:val="left"/>
      <w:pPr>
        <w:ind w:left="640" w:firstLine="0"/>
      </w:pPr>
      <w:rPr>
        <w:rFonts w:hint="eastAsi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18115F"/>
    <w:rsid w:val="0001126D"/>
    <w:rsid w:val="00D811D7"/>
    <w:rsid w:val="00F70358"/>
    <w:rsid w:val="05255C28"/>
    <w:rsid w:val="09290BC6"/>
    <w:rsid w:val="0D1F5811"/>
    <w:rsid w:val="104B7A57"/>
    <w:rsid w:val="11CF52AC"/>
    <w:rsid w:val="2AF40E07"/>
    <w:rsid w:val="2E855E51"/>
    <w:rsid w:val="33A14FC9"/>
    <w:rsid w:val="352973B2"/>
    <w:rsid w:val="393F3003"/>
    <w:rsid w:val="39B55F1A"/>
    <w:rsid w:val="3B18115F"/>
    <w:rsid w:val="42CC7D8A"/>
    <w:rsid w:val="4B54170D"/>
    <w:rsid w:val="60A83405"/>
    <w:rsid w:val="64EE5F9E"/>
    <w:rsid w:val="783569E6"/>
    <w:rsid w:val="7C242B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3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rsid w:val="00F70358"/>
    <w:pPr>
      <w:tabs>
        <w:tab w:val="center" w:pos="4153"/>
        <w:tab w:val="right" w:pos="8306"/>
      </w:tabs>
      <w:snapToGrid w:val="0"/>
      <w:jc w:val="left"/>
    </w:pPr>
    <w:rPr>
      <w:sz w:val="18"/>
      <w:szCs w:val="18"/>
    </w:rPr>
  </w:style>
  <w:style w:type="paragraph" w:styleId="a4">
    <w:name w:val="header"/>
    <w:basedOn w:val="a"/>
    <w:link w:val="Char"/>
    <w:rsid w:val="000112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1126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1483</Words>
  <Characters>8454</Characters>
  <Application>Microsoft Office Word</Application>
  <DocSecurity>0</DocSecurity>
  <Lines>70</Lines>
  <Paragraphs>19</Paragraphs>
  <ScaleCrop>false</ScaleCrop>
  <Company>微软中国</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2024-10-14T00:55:00Z</dcterms:created>
  <dcterms:modified xsi:type="dcterms:W3CDTF">2024-10-16T01:06:00Z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