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b/>
          <w:color w:val="222222"/>
          <w:kern w:val="0"/>
          <w:sz w:val="44"/>
          <w:szCs w:val="44"/>
        </w:rPr>
      </w:pPr>
      <w:r>
        <w:rPr>
          <w:rFonts w:hint="eastAsia" w:ascii="Times New Roman" w:hAnsi="Times New Roman"/>
          <w:b/>
          <w:color w:val="222222"/>
          <w:kern w:val="0"/>
          <w:sz w:val="44"/>
          <w:szCs w:val="44"/>
          <w:lang w:eastAsia="zh-CN"/>
        </w:rPr>
        <w:t>2020</w:t>
      </w:r>
      <w:r>
        <w:rPr>
          <w:rFonts w:hint="eastAsia" w:ascii="Times New Roman" w:hAnsi="Times New Roman"/>
          <w:b/>
          <w:color w:val="222222"/>
          <w:kern w:val="0"/>
          <w:sz w:val="44"/>
          <w:szCs w:val="44"/>
        </w:rPr>
        <w:t>年桃源县退</w:t>
      </w:r>
      <w:r>
        <w:rPr>
          <w:rFonts w:ascii="Times New Roman" w:hAnsi="Times New Roman"/>
          <w:b/>
          <w:color w:val="222222"/>
          <w:kern w:val="0"/>
          <w:sz w:val="44"/>
          <w:szCs w:val="44"/>
        </w:rPr>
        <w:t>役军人事务局</w:t>
      </w:r>
    </w:p>
    <w:p>
      <w:pPr>
        <w:widowControl/>
        <w:spacing w:line="560" w:lineRule="exact"/>
        <w:jc w:val="center"/>
        <w:rPr>
          <w:rFonts w:ascii="Times New Roman" w:hAnsi="Times New Roman"/>
          <w:b/>
          <w:color w:val="222222"/>
          <w:kern w:val="0"/>
          <w:sz w:val="44"/>
          <w:szCs w:val="44"/>
        </w:rPr>
      </w:pPr>
      <w:r>
        <w:rPr>
          <w:rFonts w:hint="eastAsia" w:ascii="Times New Roman" w:hAnsi="Times New Roman"/>
          <w:b/>
          <w:color w:val="222222"/>
          <w:kern w:val="0"/>
          <w:sz w:val="44"/>
          <w:szCs w:val="44"/>
        </w:rPr>
        <w:t>部门</w:t>
      </w:r>
      <w:r>
        <w:rPr>
          <w:rFonts w:ascii="Times New Roman" w:hAnsi="Times New Roman"/>
          <w:b/>
          <w:color w:val="222222"/>
          <w:kern w:val="0"/>
          <w:sz w:val="44"/>
          <w:szCs w:val="44"/>
        </w:rPr>
        <w:t>整体支出绩效评价报告</w:t>
      </w:r>
    </w:p>
    <w:p>
      <w:pPr>
        <w:widowControl/>
        <w:spacing w:line="560" w:lineRule="exact"/>
        <w:jc w:val="center"/>
        <w:rPr>
          <w:rFonts w:ascii="Times New Roman" w:hAnsi="Times New Roman"/>
          <w:b/>
          <w:color w:val="222222"/>
          <w:kern w:val="0"/>
          <w:sz w:val="44"/>
          <w:szCs w:val="44"/>
        </w:rPr>
      </w:pPr>
    </w:p>
    <w:p>
      <w:pPr>
        <w:widowControl/>
        <w:spacing w:line="560" w:lineRule="exact"/>
        <w:jc w:val="left"/>
        <w:rPr>
          <w:rFonts w:ascii="仿宋" w:hAnsi="仿宋" w:eastAsia="仿宋" w:cs="宋体"/>
          <w:sz w:val="32"/>
          <w:szCs w:val="32"/>
        </w:rPr>
      </w:pPr>
      <w:r>
        <w:rPr>
          <w:rFonts w:hint="eastAsia" w:ascii="仿宋" w:hAnsi="仿宋" w:eastAsia="仿宋" w:cs="宋体"/>
          <w:sz w:val="32"/>
          <w:szCs w:val="32"/>
        </w:rPr>
        <w:t xml:space="preserve">    为强化财政支出资金管理，提高财政资金使用效益，根据《桃源县财政局关于对2020年度本级财政安排的预算资金预算绩效管理目标任务的通知》</w:t>
      </w:r>
      <w:r>
        <w:rPr>
          <w:rFonts w:hint="eastAsia" w:ascii="仿宋" w:hAnsi="仿宋" w:eastAsia="仿宋" w:cs="仿宋_GB2312"/>
          <w:sz w:val="32"/>
          <w:szCs w:val="32"/>
        </w:rPr>
        <w:t>（桃财发〔2020〕8号）</w:t>
      </w:r>
      <w:r>
        <w:rPr>
          <w:rFonts w:hint="eastAsia" w:ascii="仿宋" w:hAnsi="仿宋" w:eastAsia="仿宋" w:cs="宋体"/>
          <w:sz w:val="32"/>
          <w:szCs w:val="32"/>
        </w:rPr>
        <w:t>预算绩效工作安排，我们对</w:t>
      </w:r>
      <w:r>
        <w:rPr>
          <w:rFonts w:hint="eastAsia" w:ascii="仿宋" w:hAnsi="仿宋" w:eastAsia="仿宋" w:cs="宋体"/>
          <w:sz w:val="32"/>
          <w:szCs w:val="32"/>
          <w:lang w:eastAsia="zh-CN"/>
        </w:rPr>
        <w:t>2020</w:t>
      </w:r>
      <w:r>
        <w:rPr>
          <w:rFonts w:ascii="仿宋" w:hAnsi="仿宋" w:eastAsia="仿宋" w:cs="宋体"/>
          <w:sz w:val="32"/>
          <w:szCs w:val="32"/>
        </w:rPr>
        <w:t>年度</w:t>
      </w:r>
      <w:r>
        <w:rPr>
          <w:rFonts w:hint="eastAsia" w:ascii="仿宋" w:hAnsi="仿宋" w:eastAsia="仿宋" w:cs="宋体"/>
          <w:sz w:val="32"/>
          <w:szCs w:val="32"/>
        </w:rPr>
        <w:t>桃源县退役军人事务</w:t>
      </w:r>
      <w:r>
        <w:rPr>
          <w:rFonts w:ascii="仿宋" w:hAnsi="仿宋" w:eastAsia="仿宋" w:cs="宋体"/>
          <w:sz w:val="32"/>
          <w:szCs w:val="32"/>
        </w:rPr>
        <w:t>局</w:t>
      </w:r>
      <w:r>
        <w:rPr>
          <w:rFonts w:hint="eastAsia" w:ascii="仿宋" w:hAnsi="仿宋" w:eastAsia="仿宋" w:cs="宋体"/>
          <w:sz w:val="32"/>
          <w:szCs w:val="32"/>
        </w:rPr>
        <w:t>部门整体支出进行了绩效自评，形成本报告。</w:t>
      </w:r>
    </w:p>
    <w:p>
      <w:pPr>
        <w:widowControl/>
        <w:spacing w:line="560" w:lineRule="exact"/>
        <w:rPr>
          <w:rFonts w:ascii="Times New Roman" w:hAnsi="Times New Roman" w:eastAsia="黑体"/>
          <w:color w:val="222222"/>
          <w:kern w:val="0"/>
          <w:sz w:val="32"/>
          <w:szCs w:val="32"/>
        </w:rPr>
      </w:pPr>
      <w:r>
        <w:rPr>
          <w:rFonts w:hint="eastAsia" w:ascii="Times New Roman" w:hAnsi="Times New Roman" w:eastAsia="黑体"/>
          <w:color w:val="222222"/>
          <w:kern w:val="0"/>
          <w:sz w:val="32"/>
          <w:szCs w:val="32"/>
        </w:rPr>
        <w:t xml:space="preserve">    </w:t>
      </w:r>
      <w:r>
        <w:rPr>
          <w:rFonts w:ascii="Times New Roman" w:hAnsi="Times New Roman" w:eastAsia="黑体"/>
          <w:color w:val="222222"/>
          <w:kern w:val="0"/>
          <w:sz w:val="32"/>
          <w:szCs w:val="32"/>
        </w:rPr>
        <w:t>一、部门概况</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（一） 机构、人员构成</w:t>
      </w:r>
    </w:p>
    <w:p>
      <w:pPr>
        <w:ind w:firstLine="640" w:firstLineChars="200"/>
        <w:rPr>
          <w:rFonts w:ascii="仿宋" w:hAnsi="仿宋" w:eastAsia="仿宋"/>
          <w:sz w:val="32"/>
          <w:szCs w:val="32"/>
        </w:rPr>
      </w:pPr>
      <w:r>
        <w:rPr>
          <w:rFonts w:hint="eastAsia" w:ascii="仿宋_GB2312" w:eastAsia="仿宋_GB2312" w:hAnsiTheme="minorEastAsia"/>
          <w:color w:val="3D3D3D"/>
          <w:sz w:val="32"/>
          <w:szCs w:val="32"/>
        </w:rPr>
        <w:t>桃源县退役军人事务局部门预算包括局机关本级预算及下属2个二级单位预算。</w:t>
      </w:r>
      <w:r>
        <w:rPr>
          <w:rFonts w:hint="eastAsia" w:ascii="仿宋" w:hAnsi="仿宋" w:eastAsia="仿宋"/>
          <w:sz w:val="32"/>
          <w:szCs w:val="32"/>
        </w:rPr>
        <w:t>下设3个股室（综合办公室、拥军优抚股、移交安置股），所属2个直属事业单位为（桃源县退役军人服务中心、桃源县军队离休退休干部休养所）。共核定编制2</w:t>
      </w:r>
      <w:r>
        <w:rPr>
          <w:rFonts w:hint="eastAsia" w:ascii="仿宋" w:hAnsi="仿宋" w:eastAsia="仿宋"/>
          <w:sz w:val="32"/>
          <w:szCs w:val="32"/>
          <w:lang w:val="en-US" w:eastAsia="zh-CN"/>
        </w:rPr>
        <w:t>9</w:t>
      </w:r>
      <w:r>
        <w:rPr>
          <w:rFonts w:hint="eastAsia" w:ascii="仿宋" w:hAnsi="仿宋" w:eastAsia="仿宋"/>
          <w:sz w:val="32"/>
          <w:szCs w:val="32"/>
        </w:rPr>
        <w:t>个：行政编制8人，事业编制</w:t>
      </w:r>
      <w:r>
        <w:rPr>
          <w:rFonts w:hint="eastAsia" w:ascii="仿宋" w:hAnsi="仿宋" w:eastAsia="仿宋"/>
          <w:sz w:val="32"/>
          <w:szCs w:val="32"/>
          <w:lang w:val="en-US" w:eastAsia="zh-CN"/>
        </w:rPr>
        <w:t>21</w:t>
      </w:r>
      <w:r>
        <w:rPr>
          <w:rFonts w:hint="eastAsia" w:ascii="仿宋" w:hAnsi="仿宋" w:eastAsia="仿宋"/>
          <w:sz w:val="32"/>
          <w:szCs w:val="32"/>
        </w:rPr>
        <w:t>人。目前实有在职人员</w:t>
      </w:r>
      <w:r>
        <w:rPr>
          <w:rFonts w:hint="eastAsia" w:ascii="仿宋" w:hAnsi="仿宋" w:eastAsia="仿宋"/>
          <w:sz w:val="32"/>
          <w:szCs w:val="32"/>
          <w:lang w:val="en-US" w:eastAsia="zh-CN"/>
        </w:rPr>
        <w:t>24</w:t>
      </w:r>
      <w:r>
        <w:rPr>
          <w:rFonts w:hint="eastAsia" w:ascii="仿宋" w:hAnsi="仿宋" w:eastAsia="仿宋"/>
          <w:sz w:val="32"/>
          <w:szCs w:val="32"/>
        </w:rPr>
        <w:t>人（行政人员</w:t>
      </w:r>
      <w:r>
        <w:rPr>
          <w:rFonts w:hint="eastAsia" w:ascii="仿宋" w:hAnsi="仿宋" w:eastAsia="仿宋"/>
          <w:sz w:val="32"/>
          <w:szCs w:val="32"/>
          <w:lang w:val="en-US" w:eastAsia="zh-CN"/>
        </w:rPr>
        <w:t>8</w:t>
      </w:r>
      <w:r>
        <w:rPr>
          <w:rFonts w:hint="eastAsia" w:ascii="仿宋" w:hAnsi="仿宋" w:eastAsia="仿宋"/>
          <w:sz w:val="32"/>
          <w:szCs w:val="32"/>
        </w:rPr>
        <w:t>人，事业人员</w:t>
      </w:r>
      <w:r>
        <w:rPr>
          <w:rFonts w:hint="eastAsia" w:ascii="仿宋" w:hAnsi="仿宋" w:eastAsia="仿宋"/>
          <w:sz w:val="32"/>
          <w:szCs w:val="32"/>
          <w:lang w:val="en-US" w:eastAsia="zh-CN"/>
        </w:rPr>
        <w:t>16</w:t>
      </w:r>
      <w:r>
        <w:rPr>
          <w:rFonts w:hint="eastAsia" w:ascii="仿宋" w:hAnsi="仿宋" w:eastAsia="仿宋"/>
          <w:sz w:val="32"/>
          <w:szCs w:val="32"/>
        </w:rPr>
        <w:t>人），退休人员</w:t>
      </w:r>
      <w:r>
        <w:rPr>
          <w:rFonts w:hint="eastAsia" w:ascii="仿宋" w:hAnsi="仿宋" w:eastAsia="仿宋"/>
          <w:sz w:val="32"/>
          <w:szCs w:val="32"/>
          <w:lang w:val="en-US" w:eastAsia="zh-CN"/>
        </w:rPr>
        <w:t>2</w:t>
      </w:r>
      <w:r>
        <w:rPr>
          <w:rFonts w:hint="eastAsia" w:ascii="仿宋" w:hAnsi="仿宋" w:eastAsia="仿宋"/>
          <w:sz w:val="32"/>
          <w:szCs w:val="32"/>
        </w:rPr>
        <w:t>人。</w:t>
      </w:r>
    </w:p>
    <w:p>
      <w:pPr>
        <w:widowControl/>
        <w:spacing w:line="560" w:lineRule="exact"/>
        <w:ind w:firstLine="640"/>
        <w:rPr>
          <w:rFonts w:ascii="楷体" w:hAnsi="楷体" w:eastAsia="楷体" w:cs="楷体"/>
          <w:color w:val="222222"/>
          <w:kern w:val="0"/>
          <w:sz w:val="32"/>
          <w:szCs w:val="32"/>
        </w:rPr>
      </w:pPr>
      <w:r>
        <w:rPr>
          <w:rFonts w:hint="eastAsia" w:ascii="楷体" w:hAnsi="楷体" w:eastAsia="楷体" w:cs="楷体"/>
          <w:color w:val="222222"/>
          <w:kern w:val="0"/>
          <w:sz w:val="32"/>
          <w:szCs w:val="32"/>
        </w:rPr>
        <w:t>（二） 单位主要职责</w:t>
      </w:r>
    </w:p>
    <w:p>
      <w:pPr>
        <w:spacing w:line="600" w:lineRule="exact"/>
        <w:ind w:firstLine="800" w:firstLineChars="250"/>
        <w:rPr>
          <w:rFonts w:eastAsia="仿宋_GB2312"/>
          <w:sz w:val="32"/>
          <w:szCs w:val="32"/>
        </w:rPr>
      </w:pPr>
      <w:r>
        <w:rPr>
          <w:rFonts w:eastAsia="仿宋_GB2312"/>
          <w:sz w:val="32"/>
          <w:szCs w:val="32"/>
        </w:rPr>
        <w:t>桃源县</w:t>
      </w:r>
      <w:r>
        <w:rPr>
          <w:rFonts w:hint="eastAsia" w:eastAsia="仿宋_GB2312"/>
          <w:sz w:val="32"/>
          <w:szCs w:val="32"/>
        </w:rPr>
        <w:t>退役军人事务局</w:t>
      </w:r>
      <w:r>
        <w:rPr>
          <w:rFonts w:eastAsia="仿宋_GB2312"/>
          <w:sz w:val="32"/>
          <w:szCs w:val="32"/>
        </w:rPr>
        <w:t>属全额拨款的行政单位，执行行政单位会计制度。</w:t>
      </w:r>
      <w:r>
        <w:rPr>
          <w:rFonts w:hint="eastAsia" w:eastAsia="仿宋_GB2312"/>
          <w:sz w:val="32"/>
          <w:szCs w:val="32"/>
        </w:rPr>
        <w:t>其主要职能如下：</w:t>
      </w:r>
    </w:p>
    <w:p>
      <w:pPr>
        <w:ind w:firstLine="640" w:firstLineChars="200"/>
        <w:rPr>
          <w:rFonts w:ascii="仿宋" w:hAnsi="仿宋" w:eastAsia="仿宋"/>
          <w:sz w:val="32"/>
          <w:szCs w:val="32"/>
        </w:rPr>
      </w:pPr>
      <w:r>
        <w:rPr>
          <w:rFonts w:hint="eastAsia" w:ascii="仿宋" w:hAnsi="仿宋" w:eastAsia="仿宋"/>
          <w:sz w:val="32"/>
          <w:szCs w:val="32"/>
        </w:rPr>
        <w:t>1、宣传贯彻落实退役军人思想政治、管理保障和安置优抚等工作政策法规，拟订我县相关工作机制、制度办法并组织实施。褒扬彰显退役军人为党、国家和人民牺牲奉献的精神风范和价值导向。</w:t>
      </w:r>
    </w:p>
    <w:p>
      <w:pPr>
        <w:ind w:firstLine="640" w:firstLineChars="200"/>
        <w:rPr>
          <w:rFonts w:ascii="仿宋" w:hAnsi="仿宋" w:eastAsia="仿宋"/>
          <w:sz w:val="32"/>
          <w:szCs w:val="32"/>
        </w:rPr>
      </w:pPr>
      <w:r>
        <w:rPr>
          <w:rFonts w:hint="eastAsia" w:ascii="仿宋" w:hAnsi="仿宋" w:eastAsia="仿宋"/>
          <w:sz w:val="32"/>
          <w:szCs w:val="32"/>
        </w:rPr>
        <w:t>2、负责烈士及退役军人荣誉奖励、军人公墓管理维护、纪念活动等工作，依法承担英雄烈士保护相关工作，审核拟列入县级烈士纪念设施名录，申报拟列入市级以上重点保护单位的烈士纪念建筑物名录，总结表彰和宣扬退役军人、退役军人工作单位和个人先进典型事迹。</w:t>
      </w:r>
    </w:p>
    <w:p>
      <w:pPr>
        <w:ind w:firstLine="640" w:firstLineChars="200"/>
        <w:rPr>
          <w:rFonts w:ascii="仿宋" w:hAnsi="仿宋" w:eastAsia="仿宋"/>
          <w:sz w:val="32"/>
          <w:szCs w:val="32"/>
        </w:rPr>
      </w:pPr>
      <w:r>
        <w:rPr>
          <w:rFonts w:hint="eastAsia" w:ascii="仿宋" w:hAnsi="仿宋" w:eastAsia="仿宋"/>
          <w:sz w:val="32"/>
          <w:szCs w:val="32"/>
        </w:rPr>
        <w:t>3、负责军队转业干部、复员干部、离休退休干部、退役士兵和无军籍退休退职职工的接收安置工作和自主择业、就业退役军人服务管理工作。</w:t>
      </w:r>
    </w:p>
    <w:p>
      <w:pPr>
        <w:ind w:firstLine="640" w:firstLineChars="200"/>
        <w:rPr>
          <w:rFonts w:ascii="仿宋" w:hAnsi="仿宋" w:eastAsia="仿宋"/>
          <w:sz w:val="32"/>
          <w:szCs w:val="32"/>
        </w:rPr>
      </w:pPr>
      <w:r>
        <w:rPr>
          <w:rFonts w:hint="eastAsia" w:ascii="仿宋" w:hAnsi="仿宋" w:eastAsia="仿宋"/>
          <w:sz w:val="32"/>
          <w:szCs w:val="32"/>
        </w:rPr>
        <w:t>4、组织指导全县退役军人技能教育培训工作，协调扶持退役军人和随军随调家属就业创业。</w:t>
      </w:r>
    </w:p>
    <w:p>
      <w:pPr>
        <w:ind w:firstLine="640" w:firstLineChars="200"/>
        <w:rPr>
          <w:rFonts w:ascii="仿宋" w:hAnsi="仿宋" w:eastAsia="仿宋"/>
          <w:sz w:val="32"/>
          <w:szCs w:val="32"/>
        </w:rPr>
      </w:pPr>
      <w:r>
        <w:rPr>
          <w:rFonts w:hint="eastAsia" w:ascii="仿宋" w:hAnsi="仿宋" w:eastAsia="仿宋"/>
          <w:sz w:val="32"/>
          <w:szCs w:val="32"/>
        </w:rPr>
        <w:t>5、组织指导全县拥军优属工作。实施国家关于退役军人特殊保障的相关政策，制定并组织实施全县退役军人优抚保障政策。会同有关部门制定有关退役军人医疗、疗养、养老等机构的规划政策并指导实施。负责现役军人、退役军人、军队文职人员和军属优待、抚恤等工作，指导实施国民党抗战老兵等有关人员优待政策。</w:t>
      </w:r>
    </w:p>
    <w:p>
      <w:pPr>
        <w:ind w:firstLine="640" w:firstLineChars="200"/>
        <w:rPr>
          <w:rFonts w:ascii="仿宋" w:hAnsi="仿宋" w:eastAsia="仿宋"/>
          <w:sz w:val="32"/>
          <w:szCs w:val="32"/>
        </w:rPr>
      </w:pPr>
      <w:r>
        <w:rPr>
          <w:rFonts w:hint="eastAsia" w:ascii="仿宋" w:hAnsi="仿宋" w:eastAsia="仿宋"/>
          <w:sz w:val="32"/>
          <w:szCs w:val="32"/>
        </w:rPr>
        <w:t>6、组织协调落实移交地方的离休退休军人、符合条件的其他退役军人和无军籍退休退职职工的住房保障工作，以及退役军人医疗保障、社会保险等待遇保障工作。</w:t>
      </w:r>
    </w:p>
    <w:p>
      <w:pPr>
        <w:ind w:firstLine="640" w:firstLineChars="200"/>
        <w:rPr>
          <w:rFonts w:ascii="仿宋" w:hAnsi="仿宋" w:eastAsia="仿宋"/>
          <w:sz w:val="32"/>
          <w:szCs w:val="32"/>
        </w:rPr>
      </w:pPr>
      <w:r>
        <w:rPr>
          <w:rFonts w:hint="eastAsia" w:ascii="仿宋" w:hAnsi="仿宋" w:eastAsia="仿宋"/>
          <w:sz w:val="32"/>
          <w:szCs w:val="32"/>
        </w:rPr>
        <w:t>7、组织指导全县伤病残退役军人服务管理和抚恤工作，承担不适宜继续服役的伤病残军人相关服务工作。</w:t>
      </w:r>
    </w:p>
    <w:p>
      <w:pPr>
        <w:ind w:firstLine="640" w:firstLineChars="200"/>
        <w:rPr>
          <w:rFonts w:ascii="仿宋" w:hAnsi="仿宋" w:eastAsia="仿宋"/>
          <w:sz w:val="32"/>
          <w:szCs w:val="32"/>
        </w:rPr>
      </w:pPr>
      <w:r>
        <w:rPr>
          <w:rFonts w:hint="eastAsia" w:ascii="仿宋" w:hAnsi="仿宋" w:eastAsia="仿宋"/>
          <w:sz w:val="32"/>
          <w:szCs w:val="32"/>
        </w:rPr>
        <w:t>8、监督检查退役军人相关法律法规和政策措施的落实，组织开展退役军人权益维护和有关人员的帮扶援助工作。</w:t>
      </w:r>
    </w:p>
    <w:p>
      <w:pPr>
        <w:ind w:firstLine="640" w:firstLineChars="200"/>
        <w:rPr>
          <w:rFonts w:ascii="仿宋" w:hAnsi="仿宋" w:eastAsia="仿宋"/>
          <w:sz w:val="32"/>
          <w:szCs w:val="32"/>
        </w:rPr>
      </w:pPr>
      <w:r>
        <w:rPr>
          <w:rFonts w:hint="eastAsia" w:ascii="仿宋" w:hAnsi="仿宋" w:eastAsia="仿宋"/>
          <w:sz w:val="32"/>
          <w:szCs w:val="32"/>
        </w:rPr>
        <w:t>9、负责市级安排的军供服务保障工作。</w:t>
      </w:r>
    </w:p>
    <w:p>
      <w:pPr>
        <w:ind w:firstLine="640" w:firstLineChars="200"/>
        <w:rPr>
          <w:rFonts w:ascii="仿宋" w:hAnsi="仿宋" w:eastAsia="仿宋"/>
          <w:sz w:val="32"/>
          <w:szCs w:val="32"/>
        </w:rPr>
      </w:pPr>
      <w:r>
        <w:rPr>
          <w:rFonts w:hint="eastAsia" w:ascii="仿宋" w:hAnsi="仿宋" w:eastAsia="仿宋"/>
          <w:sz w:val="32"/>
          <w:szCs w:val="32"/>
        </w:rPr>
        <w:t>10、完成县委、县政府交办的其他任务，配合部队完成退役军人其他相关工作。</w:t>
      </w:r>
    </w:p>
    <w:p>
      <w:pPr>
        <w:widowControl/>
        <w:spacing w:line="560" w:lineRule="exact"/>
        <w:ind w:firstLine="640"/>
        <w:rPr>
          <w:rFonts w:ascii="Times New Roman" w:hAnsi="Times New Roman" w:eastAsia="黑体"/>
          <w:color w:val="222222"/>
          <w:kern w:val="0"/>
          <w:sz w:val="32"/>
          <w:szCs w:val="32"/>
        </w:rPr>
      </w:pPr>
      <w:r>
        <w:rPr>
          <w:rFonts w:hint="eastAsia" w:ascii="Times New Roman" w:hAnsi="黑体" w:eastAsia="黑体"/>
          <w:color w:val="222222"/>
          <w:kern w:val="0"/>
          <w:sz w:val="32"/>
          <w:szCs w:val="32"/>
        </w:rPr>
        <w:t>二</w:t>
      </w:r>
      <w:r>
        <w:rPr>
          <w:rFonts w:ascii="Times New Roman" w:hAnsi="黑体" w:eastAsia="黑体"/>
          <w:color w:val="222222"/>
          <w:kern w:val="0"/>
          <w:sz w:val="32"/>
          <w:szCs w:val="32"/>
        </w:rPr>
        <w:t>、部门财务情况</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（一）部门整体支出情况</w:t>
      </w:r>
    </w:p>
    <w:p>
      <w:pPr>
        <w:ind w:firstLine="640" w:firstLineChars="200"/>
        <w:rPr>
          <w:rFonts w:ascii="仿宋" w:hAnsi="仿宋" w:eastAsia="仿宋"/>
          <w:sz w:val="32"/>
          <w:szCs w:val="32"/>
        </w:rPr>
      </w:pPr>
      <w:r>
        <w:rPr>
          <w:rFonts w:hint="eastAsia" w:ascii="仿宋" w:hAnsi="仿宋" w:eastAsia="仿宋"/>
          <w:color w:val="222222"/>
          <w:kern w:val="0"/>
          <w:sz w:val="32"/>
          <w:szCs w:val="32"/>
        </w:rPr>
        <w:t>1</w:t>
      </w:r>
      <w:r>
        <w:rPr>
          <w:rFonts w:hint="eastAsia" w:ascii="仿宋" w:hAnsi="仿宋" w:eastAsia="仿宋"/>
          <w:color w:val="222222"/>
          <w:kern w:val="0"/>
          <w:sz w:val="32"/>
          <w:szCs w:val="32"/>
          <w:lang w:eastAsia="zh-CN"/>
        </w:rPr>
        <w:t>、</w:t>
      </w:r>
      <w:r>
        <w:rPr>
          <w:rFonts w:hint="eastAsia" w:ascii="仿宋" w:hAnsi="仿宋" w:eastAsia="仿宋"/>
          <w:sz w:val="32"/>
          <w:szCs w:val="32"/>
          <w:lang w:eastAsia="zh-CN"/>
        </w:rPr>
        <w:t>2020</w:t>
      </w:r>
      <w:r>
        <w:rPr>
          <w:rFonts w:hint="eastAsia" w:ascii="仿宋" w:hAnsi="仿宋" w:eastAsia="仿宋"/>
          <w:sz w:val="32"/>
          <w:szCs w:val="32"/>
        </w:rPr>
        <w:t>年年初收入预算数</w:t>
      </w:r>
      <w:r>
        <w:rPr>
          <w:rFonts w:hint="eastAsia" w:ascii="仿宋" w:hAnsi="仿宋" w:eastAsia="仿宋"/>
          <w:sz w:val="32"/>
          <w:szCs w:val="32"/>
          <w:lang w:val="en-US" w:eastAsia="zh-CN"/>
        </w:rPr>
        <w:t>14013.85</w:t>
      </w:r>
      <w:r>
        <w:rPr>
          <w:rFonts w:hint="eastAsia" w:ascii="仿宋" w:hAnsi="仿宋" w:eastAsia="仿宋"/>
          <w:sz w:val="32"/>
          <w:szCs w:val="32"/>
        </w:rPr>
        <w:t>万元，其中，一般公共服务</w:t>
      </w:r>
      <w:r>
        <w:rPr>
          <w:rFonts w:hint="eastAsia" w:ascii="仿宋" w:hAnsi="仿宋" w:eastAsia="仿宋"/>
          <w:sz w:val="32"/>
          <w:szCs w:val="32"/>
          <w:lang w:val="en-US" w:eastAsia="zh-CN"/>
        </w:rPr>
        <w:t>1.46</w:t>
      </w:r>
      <w:r>
        <w:rPr>
          <w:rFonts w:hint="eastAsia" w:ascii="仿宋" w:hAnsi="仿宋" w:eastAsia="仿宋"/>
          <w:sz w:val="32"/>
          <w:szCs w:val="32"/>
        </w:rPr>
        <w:t xml:space="preserve">万元，社会保障和就业 </w:t>
      </w:r>
      <w:r>
        <w:rPr>
          <w:rFonts w:hint="eastAsia" w:ascii="仿宋" w:hAnsi="仿宋" w:eastAsia="仿宋"/>
          <w:sz w:val="32"/>
          <w:szCs w:val="32"/>
          <w:lang w:val="en-US" w:eastAsia="zh-CN"/>
        </w:rPr>
        <w:t>13545.45</w:t>
      </w:r>
      <w:r>
        <w:rPr>
          <w:rFonts w:hint="eastAsia" w:ascii="仿宋" w:hAnsi="仿宋" w:eastAsia="仿宋"/>
          <w:sz w:val="32"/>
          <w:szCs w:val="32"/>
        </w:rPr>
        <w:t>万元，医疗卫生与计划生育</w:t>
      </w:r>
      <w:r>
        <w:rPr>
          <w:rFonts w:hint="eastAsia" w:ascii="仿宋" w:hAnsi="仿宋" w:eastAsia="仿宋"/>
          <w:sz w:val="32"/>
          <w:szCs w:val="32"/>
          <w:lang w:val="en-US" w:eastAsia="zh-CN"/>
        </w:rPr>
        <w:t>456.58</w:t>
      </w:r>
      <w:r>
        <w:rPr>
          <w:rFonts w:hint="eastAsia" w:ascii="仿宋" w:hAnsi="仿宋" w:eastAsia="仿宋"/>
          <w:sz w:val="32"/>
          <w:szCs w:val="32"/>
        </w:rPr>
        <w:t>万元，住房保障</w:t>
      </w:r>
      <w:r>
        <w:rPr>
          <w:rFonts w:hint="eastAsia" w:ascii="仿宋" w:hAnsi="仿宋" w:eastAsia="仿宋"/>
          <w:sz w:val="32"/>
          <w:szCs w:val="32"/>
          <w:lang w:val="en-US" w:eastAsia="zh-CN"/>
        </w:rPr>
        <w:t>10.36</w:t>
      </w:r>
      <w:r>
        <w:rPr>
          <w:rFonts w:hint="eastAsia" w:ascii="仿宋" w:hAnsi="仿宋" w:eastAsia="仿宋"/>
          <w:sz w:val="32"/>
          <w:szCs w:val="32"/>
        </w:rPr>
        <w:t>万元。</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（二）部门预算收支决算情况</w:t>
      </w:r>
    </w:p>
    <w:p>
      <w:pPr>
        <w:snapToGrid w:val="0"/>
        <w:spacing w:line="360" w:lineRule="auto"/>
        <w:ind w:firstLine="640" w:firstLineChars="200"/>
        <w:rPr>
          <w:rFonts w:ascii="仿宋_GB2312" w:eastAsia="仿宋_GB2312"/>
          <w:sz w:val="32"/>
          <w:szCs w:val="32"/>
        </w:rPr>
      </w:pPr>
      <w:r>
        <w:rPr>
          <w:rFonts w:hint="eastAsia" w:ascii="仿宋" w:hAnsi="仿宋" w:eastAsia="仿宋"/>
          <w:color w:val="222222"/>
          <w:kern w:val="0"/>
          <w:sz w:val="32"/>
          <w:szCs w:val="32"/>
        </w:rPr>
        <w:t>1、年度收支决算情况。</w:t>
      </w:r>
      <w:r>
        <w:rPr>
          <w:rFonts w:hint="eastAsia" w:ascii="仿宋_GB2312" w:eastAsia="仿宋_GB2312"/>
          <w:sz w:val="32"/>
          <w:szCs w:val="32"/>
          <w:lang w:eastAsia="zh-CN"/>
        </w:rPr>
        <w:t>2020</w:t>
      </w:r>
      <w:r>
        <w:rPr>
          <w:rFonts w:hint="eastAsia" w:ascii="仿宋_GB2312" w:eastAsia="仿宋_GB2312"/>
          <w:sz w:val="32"/>
          <w:szCs w:val="32"/>
        </w:rPr>
        <w:t>年一</w:t>
      </w:r>
      <w:r>
        <w:rPr>
          <w:rFonts w:ascii="仿宋_GB2312" w:eastAsia="仿宋_GB2312"/>
          <w:sz w:val="32"/>
          <w:szCs w:val="32"/>
        </w:rPr>
        <w:t>般预算财政拨款</w:t>
      </w:r>
      <w:r>
        <w:rPr>
          <w:rFonts w:hint="eastAsia" w:ascii="仿宋_GB2312" w:eastAsia="仿宋_GB2312"/>
          <w:sz w:val="32"/>
          <w:szCs w:val="32"/>
        </w:rPr>
        <w:t>收入合计</w:t>
      </w:r>
      <w:r>
        <w:rPr>
          <w:rFonts w:hint="eastAsia" w:ascii="仿宋_GB2312" w:eastAsia="仿宋_GB2312"/>
          <w:sz w:val="32"/>
          <w:szCs w:val="32"/>
          <w:lang w:val="en-US" w:eastAsia="zh-CN"/>
        </w:rPr>
        <w:t>14013.85</w:t>
      </w:r>
      <w:r>
        <w:rPr>
          <w:rFonts w:hint="eastAsia" w:ascii="仿宋_GB2312" w:eastAsia="仿宋_GB2312"/>
          <w:sz w:val="32"/>
          <w:szCs w:val="32"/>
        </w:rPr>
        <w:t>万元。</w:t>
      </w:r>
    </w:p>
    <w:p>
      <w:pPr>
        <w:widowControl/>
        <w:spacing w:line="560" w:lineRule="exact"/>
        <w:ind w:firstLine="640"/>
        <w:rPr>
          <w:rFonts w:ascii="仿宋" w:hAnsi="仿宋" w:eastAsia="仿宋"/>
          <w:color w:val="222222"/>
          <w:kern w:val="0"/>
          <w:sz w:val="32"/>
          <w:szCs w:val="32"/>
        </w:rPr>
      </w:pPr>
      <w:r>
        <w:rPr>
          <w:rFonts w:hint="eastAsia" w:ascii="仿宋_GB2312" w:eastAsia="仿宋_GB2312"/>
          <w:sz w:val="32"/>
          <w:szCs w:val="32"/>
          <w:lang w:eastAsia="zh-CN"/>
        </w:rPr>
        <w:t>2020</w:t>
      </w:r>
      <w:r>
        <w:rPr>
          <w:rFonts w:hint="eastAsia" w:ascii="仿宋_GB2312" w:eastAsia="仿宋_GB2312"/>
          <w:sz w:val="32"/>
          <w:szCs w:val="32"/>
        </w:rPr>
        <w:t>年一</w:t>
      </w:r>
      <w:r>
        <w:rPr>
          <w:rFonts w:ascii="仿宋_GB2312" w:eastAsia="仿宋_GB2312"/>
          <w:sz w:val="32"/>
          <w:szCs w:val="32"/>
        </w:rPr>
        <w:t>般预</w:t>
      </w:r>
      <w:r>
        <w:rPr>
          <w:rFonts w:hint="eastAsia" w:ascii="仿宋_GB2312" w:eastAsia="仿宋_GB2312"/>
          <w:sz w:val="32"/>
          <w:szCs w:val="32"/>
        </w:rPr>
        <w:t>算</w:t>
      </w:r>
      <w:r>
        <w:rPr>
          <w:rFonts w:ascii="仿宋_GB2312" w:eastAsia="仿宋_GB2312"/>
          <w:sz w:val="32"/>
          <w:szCs w:val="32"/>
        </w:rPr>
        <w:t>财政拨款</w:t>
      </w:r>
      <w:r>
        <w:rPr>
          <w:rFonts w:hint="eastAsia" w:ascii="仿宋_GB2312" w:eastAsia="仿宋_GB2312"/>
          <w:sz w:val="32"/>
          <w:szCs w:val="32"/>
        </w:rPr>
        <w:t>支出合计</w:t>
      </w:r>
      <w:r>
        <w:rPr>
          <w:rFonts w:hint="eastAsia" w:ascii="仿宋_GB2312" w:eastAsia="仿宋_GB2312"/>
          <w:sz w:val="32"/>
          <w:szCs w:val="32"/>
          <w:lang w:val="en-US" w:eastAsia="zh-CN"/>
        </w:rPr>
        <w:t>13190.57</w:t>
      </w:r>
      <w:r>
        <w:rPr>
          <w:rFonts w:hint="eastAsia" w:ascii="仿宋_GB2312" w:eastAsia="仿宋_GB2312"/>
          <w:sz w:val="32"/>
          <w:szCs w:val="32"/>
        </w:rPr>
        <w:t>万元。</w:t>
      </w:r>
    </w:p>
    <w:p>
      <w:pPr>
        <w:widowControl/>
        <w:spacing w:line="560" w:lineRule="exact"/>
        <w:ind w:firstLine="640"/>
        <w:rPr>
          <w:rFonts w:ascii="仿宋" w:hAnsi="仿宋" w:eastAsia="仿宋"/>
          <w:color w:val="222222"/>
          <w:kern w:val="0"/>
          <w:sz w:val="32"/>
          <w:szCs w:val="32"/>
        </w:rPr>
      </w:pPr>
      <w:r>
        <w:rPr>
          <w:rFonts w:hint="eastAsia" w:ascii="仿宋" w:hAnsi="仿宋" w:eastAsia="仿宋"/>
          <w:color w:val="222222"/>
          <w:kern w:val="0"/>
          <w:sz w:val="32"/>
          <w:szCs w:val="32"/>
        </w:rPr>
        <w:t>2、收入决算。</w:t>
      </w:r>
      <w:r>
        <w:rPr>
          <w:rFonts w:hint="eastAsia" w:ascii="仿宋_GB2312" w:eastAsia="仿宋_GB2312"/>
          <w:sz w:val="32"/>
          <w:szCs w:val="32"/>
          <w:lang w:eastAsia="zh-CN"/>
        </w:rPr>
        <w:t>2020</w:t>
      </w:r>
      <w:r>
        <w:rPr>
          <w:rFonts w:hint="eastAsia" w:ascii="仿宋_GB2312" w:eastAsia="仿宋_GB2312"/>
          <w:sz w:val="32"/>
          <w:szCs w:val="32"/>
        </w:rPr>
        <w:t>年一</w:t>
      </w:r>
      <w:r>
        <w:rPr>
          <w:rFonts w:ascii="仿宋_GB2312" w:eastAsia="仿宋_GB2312"/>
          <w:sz w:val="32"/>
          <w:szCs w:val="32"/>
        </w:rPr>
        <w:t>般预算财政拨款</w:t>
      </w:r>
      <w:r>
        <w:rPr>
          <w:rFonts w:hint="eastAsia" w:ascii="仿宋_GB2312" w:eastAsia="仿宋_GB2312"/>
          <w:sz w:val="32"/>
          <w:szCs w:val="32"/>
        </w:rPr>
        <w:t>收入合计</w:t>
      </w:r>
      <w:r>
        <w:rPr>
          <w:rFonts w:hint="eastAsia" w:ascii="仿宋_GB2312" w:eastAsia="仿宋_GB2312"/>
          <w:sz w:val="32"/>
          <w:szCs w:val="32"/>
          <w:lang w:val="en-US" w:eastAsia="zh-CN"/>
        </w:rPr>
        <w:t>14013.85</w:t>
      </w:r>
      <w:r>
        <w:rPr>
          <w:rFonts w:hint="eastAsia" w:ascii="仿宋_GB2312" w:eastAsia="仿宋_GB2312"/>
          <w:sz w:val="32"/>
          <w:szCs w:val="32"/>
        </w:rPr>
        <w:t>万元</w:t>
      </w:r>
      <w:r>
        <w:rPr>
          <w:rFonts w:hint="eastAsia" w:ascii="仿宋" w:hAnsi="仿宋" w:eastAsia="仿宋"/>
          <w:color w:val="222222"/>
          <w:kern w:val="0"/>
          <w:sz w:val="32"/>
          <w:szCs w:val="32"/>
        </w:rPr>
        <w:t>，其中，公共预算财政拨款收入</w:t>
      </w:r>
      <w:r>
        <w:rPr>
          <w:rFonts w:hint="eastAsia" w:ascii="仿宋" w:hAnsi="仿宋" w:eastAsia="仿宋"/>
          <w:color w:val="222222"/>
          <w:kern w:val="0"/>
          <w:sz w:val="32"/>
          <w:szCs w:val="32"/>
          <w:lang w:val="en-US" w:eastAsia="zh-CN"/>
        </w:rPr>
        <w:t>14013.85</w:t>
      </w:r>
      <w:r>
        <w:rPr>
          <w:rFonts w:hint="eastAsia" w:ascii="仿宋" w:hAnsi="仿宋" w:eastAsia="仿宋"/>
          <w:color w:val="222222"/>
          <w:kern w:val="0"/>
          <w:sz w:val="32"/>
          <w:szCs w:val="32"/>
        </w:rPr>
        <w:t>万元。</w:t>
      </w:r>
    </w:p>
    <w:p>
      <w:pPr>
        <w:ind w:firstLine="640" w:firstLineChars="200"/>
        <w:rPr>
          <w:rFonts w:ascii="仿宋" w:hAnsi="仿宋" w:eastAsia="仿宋"/>
          <w:color w:val="222222"/>
          <w:kern w:val="0"/>
          <w:sz w:val="32"/>
          <w:szCs w:val="32"/>
        </w:rPr>
      </w:pPr>
      <w:r>
        <w:rPr>
          <w:rFonts w:hint="eastAsia" w:ascii="仿宋" w:hAnsi="仿宋" w:eastAsia="仿宋"/>
          <w:color w:val="222222"/>
          <w:kern w:val="0"/>
          <w:sz w:val="32"/>
          <w:szCs w:val="32"/>
        </w:rPr>
        <w:t>3、支出决算 。</w:t>
      </w:r>
      <w:r>
        <w:rPr>
          <w:rFonts w:hint="eastAsia" w:ascii="仿宋" w:hAnsi="仿宋" w:eastAsia="仿宋"/>
          <w:sz w:val="32"/>
          <w:szCs w:val="32"/>
        </w:rPr>
        <w:t>基本支出：</w:t>
      </w:r>
      <w:r>
        <w:rPr>
          <w:rFonts w:hint="eastAsia" w:ascii="仿宋" w:hAnsi="仿宋" w:eastAsia="仿宋"/>
          <w:sz w:val="32"/>
          <w:szCs w:val="32"/>
          <w:lang w:eastAsia="zh-CN"/>
        </w:rPr>
        <w:t>2020</w:t>
      </w:r>
      <w:r>
        <w:rPr>
          <w:rFonts w:hint="eastAsia" w:ascii="仿宋" w:hAnsi="仿宋" w:eastAsia="仿宋"/>
          <w:sz w:val="32"/>
          <w:szCs w:val="32"/>
        </w:rPr>
        <w:t>年基本支出年初预算数为</w:t>
      </w:r>
      <w:r>
        <w:rPr>
          <w:rFonts w:hint="eastAsia" w:ascii="仿宋" w:hAnsi="仿宋" w:eastAsia="仿宋"/>
          <w:sz w:val="32"/>
          <w:szCs w:val="32"/>
          <w:lang w:val="en-US" w:eastAsia="zh-CN"/>
        </w:rPr>
        <w:t>325.72</w:t>
      </w:r>
      <w:r>
        <w:rPr>
          <w:rFonts w:hint="eastAsia" w:ascii="仿宋" w:hAnsi="仿宋" w:eastAsia="仿宋"/>
          <w:sz w:val="32"/>
          <w:szCs w:val="32"/>
        </w:rPr>
        <w:t>万元，是指为保障单位机构正常运转、完成日常工作任务而发生的各项支出，包括用于基本工资、津贴补贴等人员经费以及办公费、印刷费、水电费、办公设备购置等日常公用经费。</w:t>
      </w:r>
    </w:p>
    <w:p>
      <w:pPr>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eastAsia="zh-CN"/>
        </w:rPr>
        <w:t>2020</w:t>
      </w:r>
      <w:r>
        <w:rPr>
          <w:rFonts w:hint="eastAsia" w:ascii="仿宋" w:hAnsi="仿宋" w:eastAsia="仿宋"/>
          <w:sz w:val="32"/>
          <w:szCs w:val="32"/>
        </w:rPr>
        <w:t>年项目支出年初预算数为</w:t>
      </w:r>
      <w:r>
        <w:rPr>
          <w:rFonts w:hint="eastAsia" w:ascii="仿宋" w:hAnsi="仿宋" w:eastAsia="仿宋"/>
          <w:sz w:val="32"/>
          <w:szCs w:val="32"/>
          <w:lang w:val="en-US" w:eastAsia="zh-CN"/>
        </w:rPr>
        <w:t>12864.85</w:t>
      </w:r>
      <w:r>
        <w:rPr>
          <w:rFonts w:hint="eastAsia" w:ascii="仿宋" w:hAnsi="仿宋" w:eastAsia="仿宋"/>
          <w:sz w:val="32"/>
          <w:szCs w:val="32"/>
        </w:rPr>
        <w:t>万元，是指单位为完成特定行政工作任务或事业发展目标而发生的支出，包括优抚对象“八、一”慰问75万元、伤残抚恤</w:t>
      </w:r>
      <w:r>
        <w:rPr>
          <w:rFonts w:hint="eastAsia" w:ascii="仿宋" w:hAnsi="仿宋" w:eastAsia="仿宋"/>
          <w:sz w:val="32"/>
          <w:szCs w:val="32"/>
          <w:lang w:val="en-US" w:eastAsia="zh-CN"/>
        </w:rPr>
        <w:t>325.17</w:t>
      </w:r>
      <w:r>
        <w:rPr>
          <w:rFonts w:hint="eastAsia" w:ascii="仿宋" w:hAnsi="仿宋" w:eastAsia="仿宋"/>
          <w:sz w:val="32"/>
          <w:szCs w:val="32"/>
        </w:rPr>
        <w:t>万元、在乡复员退伍军人生活补助</w:t>
      </w:r>
      <w:r>
        <w:rPr>
          <w:rFonts w:hint="eastAsia" w:ascii="仿宋" w:hAnsi="仿宋" w:eastAsia="仿宋"/>
          <w:sz w:val="32"/>
          <w:szCs w:val="32"/>
          <w:lang w:val="en-US" w:eastAsia="zh-CN"/>
        </w:rPr>
        <w:t>201.14</w:t>
      </w:r>
      <w:r>
        <w:rPr>
          <w:rFonts w:hint="eastAsia" w:ascii="仿宋" w:hAnsi="仿宋" w:eastAsia="仿宋"/>
          <w:sz w:val="32"/>
          <w:szCs w:val="32"/>
        </w:rPr>
        <w:t>万元、义务兵优待金</w:t>
      </w:r>
      <w:r>
        <w:rPr>
          <w:rFonts w:hint="eastAsia" w:ascii="仿宋" w:hAnsi="仿宋" w:eastAsia="仿宋"/>
          <w:sz w:val="32"/>
          <w:szCs w:val="32"/>
          <w:lang w:val="en-US" w:eastAsia="zh-CN"/>
        </w:rPr>
        <w:t>865.8</w:t>
      </w:r>
      <w:r>
        <w:rPr>
          <w:rFonts w:hint="eastAsia" w:ascii="仿宋" w:hAnsi="仿宋" w:eastAsia="仿宋"/>
          <w:sz w:val="32"/>
          <w:szCs w:val="32"/>
        </w:rPr>
        <w:t>万元、其他优抚支出</w:t>
      </w:r>
      <w:r>
        <w:rPr>
          <w:rFonts w:hint="eastAsia" w:ascii="仿宋" w:hAnsi="仿宋" w:eastAsia="仿宋"/>
          <w:sz w:val="32"/>
          <w:szCs w:val="32"/>
          <w:lang w:val="en-US" w:eastAsia="zh-CN"/>
        </w:rPr>
        <w:t>8038.29</w:t>
      </w:r>
      <w:r>
        <w:rPr>
          <w:rFonts w:hint="eastAsia" w:ascii="仿宋" w:hAnsi="仿宋" w:eastAsia="仿宋"/>
          <w:sz w:val="32"/>
          <w:szCs w:val="32"/>
        </w:rPr>
        <w:t>万元、</w:t>
      </w:r>
      <w:r>
        <w:rPr>
          <w:rFonts w:hint="eastAsia" w:ascii="仿宋" w:hAnsi="仿宋" w:eastAsia="仿宋"/>
          <w:sz w:val="32"/>
          <w:szCs w:val="32"/>
          <w:lang w:val="en-US" w:eastAsia="zh-CN"/>
        </w:rPr>
        <w:t>自主就来退役士兵一次性补助452.6</w:t>
      </w:r>
      <w:r>
        <w:rPr>
          <w:rFonts w:hint="eastAsia" w:ascii="仿宋" w:hAnsi="仿宋" w:eastAsia="仿宋"/>
          <w:sz w:val="32"/>
          <w:szCs w:val="32"/>
        </w:rPr>
        <w:t>万元、军队移交政府的离退休人员安置</w:t>
      </w:r>
      <w:r>
        <w:rPr>
          <w:rFonts w:hint="eastAsia" w:ascii="仿宋" w:hAnsi="仿宋" w:eastAsia="仿宋"/>
          <w:sz w:val="32"/>
          <w:szCs w:val="32"/>
          <w:lang w:val="en-US" w:eastAsia="zh-CN"/>
        </w:rPr>
        <w:t>828.85</w:t>
      </w:r>
      <w:r>
        <w:rPr>
          <w:rFonts w:hint="eastAsia" w:ascii="仿宋" w:hAnsi="仿宋" w:eastAsia="仿宋"/>
          <w:sz w:val="32"/>
          <w:szCs w:val="32"/>
        </w:rPr>
        <w:t>万元、军队转业干部安置</w:t>
      </w:r>
      <w:r>
        <w:rPr>
          <w:rFonts w:hint="eastAsia" w:ascii="仿宋" w:hAnsi="仿宋" w:eastAsia="仿宋"/>
          <w:sz w:val="32"/>
          <w:szCs w:val="32"/>
          <w:lang w:val="en-US" w:eastAsia="zh-CN"/>
        </w:rPr>
        <w:t>227</w:t>
      </w:r>
      <w:r>
        <w:rPr>
          <w:rFonts w:hint="eastAsia" w:ascii="仿宋" w:hAnsi="仿宋" w:eastAsia="仿宋"/>
          <w:sz w:val="32"/>
          <w:szCs w:val="32"/>
        </w:rPr>
        <w:t>万元、</w:t>
      </w:r>
      <w:r>
        <w:rPr>
          <w:rFonts w:hint="eastAsia" w:ascii="仿宋" w:hAnsi="仿宋" w:eastAsia="仿宋"/>
          <w:sz w:val="32"/>
          <w:szCs w:val="32"/>
          <w:lang w:val="en-US" w:eastAsia="zh-CN"/>
        </w:rPr>
        <w:t>社保接续1375</w:t>
      </w:r>
      <w:r>
        <w:rPr>
          <w:rFonts w:hint="eastAsia" w:ascii="仿宋" w:hAnsi="仿宋" w:eastAsia="仿宋"/>
          <w:sz w:val="32"/>
          <w:szCs w:val="32"/>
        </w:rPr>
        <w:t>万元、优抚对象医疗补助</w:t>
      </w:r>
      <w:r>
        <w:rPr>
          <w:rFonts w:hint="eastAsia" w:ascii="仿宋" w:hAnsi="仿宋" w:eastAsia="仿宋"/>
          <w:sz w:val="32"/>
          <w:szCs w:val="32"/>
          <w:lang w:val="en-US" w:eastAsia="zh-CN"/>
        </w:rPr>
        <w:t>441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优抚事业单位支出35万元</w:t>
      </w:r>
      <w:r>
        <w:rPr>
          <w:rFonts w:hint="eastAsia" w:ascii="仿宋" w:hAnsi="仿宋" w:eastAsia="仿宋"/>
          <w:sz w:val="32"/>
          <w:szCs w:val="32"/>
        </w:rPr>
        <w:t>。</w:t>
      </w:r>
    </w:p>
    <w:p>
      <w:pPr>
        <w:widowControl/>
        <w:spacing w:line="560" w:lineRule="exact"/>
        <w:ind w:firstLine="640"/>
        <w:rPr>
          <w:rFonts w:ascii="Times New Roman" w:hAnsi="Times New Roman" w:eastAsia="楷体_GB2312"/>
          <w:color w:val="222222"/>
          <w:kern w:val="0"/>
          <w:sz w:val="32"/>
          <w:szCs w:val="32"/>
        </w:rPr>
      </w:pPr>
      <w:r>
        <w:rPr>
          <w:rFonts w:hint="eastAsia" w:ascii="Times New Roman" w:hAnsi="Times New Roman" w:eastAsia="楷体_GB2312"/>
          <w:color w:val="222222"/>
          <w:kern w:val="0"/>
          <w:sz w:val="32"/>
          <w:szCs w:val="32"/>
        </w:rPr>
        <w:t>（三） “三公经费”支出使用和管理情况</w:t>
      </w:r>
    </w:p>
    <w:p>
      <w:pPr>
        <w:widowControl/>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本年度公务接待费</w:t>
      </w:r>
      <w:r>
        <w:rPr>
          <w:rFonts w:hint="eastAsia" w:ascii="仿宋_GB2312" w:hAnsi="仿宋" w:eastAsia="仿宋_GB2312" w:cs="仿宋"/>
          <w:sz w:val="32"/>
          <w:szCs w:val="32"/>
          <w:lang w:val="en-US" w:eastAsia="zh-CN"/>
        </w:rPr>
        <w:t>8.76</w:t>
      </w:r>
      <w:r>
        <w:rPr>
          <w:rFonts w:hint="eastAsia" w:ascii="仿宋_GB2312" w:hAnsi="仿宋" w:eastAsia="仿宋_GB2312" w:cs="仿宋"/>
          <w:sz w:val="32"/>
          <w:szCs w:val="32"/>
        </w:rPr>
        <w:t>万元，比年初预算数省</w:t>
      </w:r>
      <w:r>
        <w:rPr>
          <w:rFonts w:hint="eastAsia" w:ascii="仿宋_GB2312" w:hAnsi="仿宋" w:eastAsia="仿宋_GB2312" w:cs="仿宋"/>
          <w:sz w:val="32"/>
          <w:szCs w:val="32"/>
          <w:lang w:val="en-US" w:eastAsia="zh-CN"/>
        </w:rPr>
        <w:t>1.24</w:t>
      </w:r>
      <w:r>
        <w:rPr>
          <w:rFonts w:hint="eastAsia" w:ascii="仿宋_GB2312" w:hAnsi="仿宋" w:eastAsia="仿宋_GB2312" w:cs="仿宋"/>
          <w:sz w:val="32"/>
          <w:szCs w:val="32"/>
        </w:rPr>
        <w:t>万元；退役军人事务局无公务车。</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三、部门绩效目标</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（一）部门绩效总目标</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1.重点优抚对象抚恤及生活补助按季度足额发放，使优抚对象生活情况得到有效改善；</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2.对符合政府安置退役士兵待安置期间生活费及自谋职业补助金按时发放；</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3.对符合政府安置退役士兵做好安置工作；</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4.加强服务中心建设，更好的为退役军人服务；</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5.加强人才队伍建设，简化办事流程，提高群众满意度。</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（二）</w:t>
      </w:r>
      <w:r>
        <w:rPr>
          <w:rFonts w:hint="eastAsia" w:ascii="Times New Roman" w:hAnsi="Times New Roman" w:eastAsia="楷体_GB2312"/>
          <w:color w:val="222222"/>
          <w:kern w:val="0"/>
          <w:sz w:val="32"/>
          <w:szCs w:val="32"/>
        </w:rPr>
        <w:t>年度</w:t>
      </w:r>
      <w:r>
        <w:rPr>
          <w:rFonts w:ascii="Times New Roman" w:hAnsi="Times New Roman" w:eastAsia="楷体_GB2312"/>
          <w:color w:val="222222"/>
          <w:kern w:val="0"/>
          <w:sz w:val="32"/>
          <w:szCs w:val="32"/>
        </w:rPr>
        <w:t>部门绩效目标</w:t>
      </w:r>
    </w:p>
    <w:p>
      <w:pPr>
        <w:widowControl/>
        <w:spacing w:line="560" w:lineRule="exact"/>
        <w:ind w:firstLine="640"/>
        <w:rPr>
          <w:rFonts w:ascii="仿宋" w:hAnsi="仿宋" w:eastAsia="仿宋"/>
          <w:color w:val="222222"/>
          <w:kern w:val="0"/>
          <w:sz w:val="32"/>
          <w:szCs w:val="32"/>
        </w:rPr>
      </w:pPr>
      <w:r>
        <w:rPr>
          <w:rFonts w:hint="eastAsia" w:ascii="仿宋_GB2312" w:eastAsia="仿宋_GB2312"/>
          <w:sz w:val="32"/>
          <w:szCs w:val="32"/>
        </w:rPr>
        <w:t>确保本年度各项工作正常运转。</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四、绩效评价工作情况</w:t>
      </w:r>
    </w:p>
    <w:p>
      <w:pPr>
        <w:tabs>
          <w:tab w:val="left" w:pos="910"/>
        </w:tabs>
        <w:rPr>
          <w:rFonts w:ascii="仿宋" w:hAnsi="仿宋" w:eastAsia="仿宋"/>
          <w:color w:val="222222"/>
          <w:kern w:val="0"/>
          <w:sz w:val="32"/>
          <w:szCs w:val="32"/>
        </w:rPr>
      </w:pPr>
      <w:r>
        <w:rPr>
          <w:rFonts w:ascii="Times New Roman" w:hAnsi="Times New Roman" w:eastAsia="黑体"/>
          <w:sz w:val="32"/>
          <w:szCs w:val="32"/>
        </w:rPr>
        <w:tab/>
      </w:r>
      <w:r>
        <w:rPr>
          <w:rFonts w:hint="eastAsia" w:ascii="仿宋" w:hAnsi="仿宋" w:eastAsia="仿宋"/>
          <w:color w:val="222222"/>
          <w:kern w:val="0"/>
          <w:sz w:val="32"/>
          <w:szCs w:val="32"/>
        </w:rPr>
        <w:t>在评价过程中，结合我单位的实际情况，实施了包括</w:t>
      </w:r>
      <w:r>
        <w:rPr>
          <w:rFonts w:hint="eastAsia" w:ascii="仿宋_GB2312" w:eastAsia="仿宋_GB2312"/>
          <w:color w:val="000000"/>
          <w:sz w:val="32"/>
          <w:szCs w:val="32"/>
          <w:shd w:val="clear" w:color="auto" w:fill="FFFFFF"/>
        </w:rPr>
        <w:t>收集基础资料、财政资金绩效目标及其设立依据和调整情况、管理措施及组织实施情况</w:t>
      </w:r>
      <w:r>
        <w:rPr>
          <w:rFonts w:hint="eastAsia" w:ascii="仿宋" w:hAnsi="仿宋" w:eastAsia="仿宋"/>
          <w:color w:val="222222"/>
          <w:kern w:val="0"/>
          <w:sz w:val="32"/>
          <w:szCs w:val="32"/>
        </w:rPr>
        <w:t>，进行了各项评价。</w:t>
      </w:r>
    </w:p>
    <w:p>
      <w:pPr>
        <w:widowControl/>
        <w:spacing w:line="56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五、综合评价结果</w:t>
      </w:r>
    </w:p>
    <w:p>
      <w:pPr>
        <w:widowControl/>
        <w:spacing w:line="560" w:lineRule="exact"/>
        <w:ind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结合我局实际情况，客观公正的根据预算部门整体支出管理绩效项目自评对我局进行评分，综合得分100分，部门整体支出绩效自评为“优”</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六、部门</w:t>
      </w:r>
      <w:r>
        <w:rPr>
          <w:rFonts w:hint="eastAsia" w:ascii="Times New Roman" w:hAnsi="Times New Roman" w:eastAsia="黑体"/>
          <w:color w:val="222222"/>
          <w:kern w:val="0"/>
          <w:sz w:val="32"/>
          <w:szCs w:val="32"/>
        </w:rPr>
        <w:t>整体支出</w:t>
      </w:r>
      <w:r>
        <w:rPr>
          <w:rFonts w:ascii="Times New Roman" w:hAnsi="Times New Roman" w:eastAsia="黑体"/>
          <w:color w:val="222222"/>
          <w:kern w:val="0"/>
          <w:sz w:val="32"/>
          <w:szCs w:val="32"/>
        </w:rPr>
        <w:t>绩效</w:t>
      </w:r>
      <w:r>
        <w:rPr>
          <w:rFonts w:hint="eastAsia" w:ascii="Times New Roman" w:hAnsi="Times New Roman" w:eastAsia="黑体"/>
          <w:color w:val="222222"/>
          <w:kern w:val="0"/>
          <w:sz w:val="32"/>
          <w:szCs w:val="32"/>
        </w:rPr>
        <w:t>情况</w:t>
      </w:r>
    </w:p>
    <w:p>
      <w:pPr>
        <w:pStyle w:val="12"/>
        <w:shd w:val="clear" w:color="auto" w:fill="FFFFFF"/>
        <w:spacing w:before="225" w:beforeAutospacing="0" w:after="0" w:afterAutospacing="0"/>
        <w:ind w:firstLine="645"/>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1.着力强化党建引领，助推党风廉政建设取得实效。一是坚持理论学习。树牢“四个意识”，坚定“四个自信”，践行“两个维护”。二是完善党组织设立。三是建立健全工作制度。四是落实党风廉政建设一岗双责，全面推进从严治党。</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2.持续做好优抚褒扬工作。一是开展春节和“八·一”慰问。县委、县政府领导带队深入到驻桃部队和部分重点优抚对象家中进行走访慰问；二是严格按政策按时足额发放重点优抚对象抚恤和生活补助。我县各类优抚对象共有</w:t>
      </w:r>
      <w:r>
        <w:rPr>
          <w:rFonts w:hint="eastAsia" w:ascii="仿宋_GB2312" w:hAnsi="微软雅黑" w:eastAsia="仿宋_GB2312"/>
          <w:color w:val="000000"/>
          <w:sz w:val="32"/>
          <w:szCs w:val="32"/>
          <w:shd w:val="clear" w:color="auto" w:fill="FFFFFF"/>
        </w:rPr>
        <w:t>14898</w:t>
      </w:r>
      <w:r>
        <w:rPr>
          <w:rFonts w:hint="eastAsia" w:ascii="仿宋_GB2312" w:hAnsi="微软雅黑" w:eastAsia="仿宋_GB2312"/>
          <w:color w:val="000000"/>
          <w:sz w:val="32"/>
          <w:szCs w:val="32"/>
        </w:rPr>
        <w:t>人。三是做好义务兵家庭优待金发放工作，共为</w:t>
      </w:r>
      <w:r>
        <w:rPr>
          <w:rFonts w:hint="eastAsia" w:ascii="仿宋_GB2312" w:hAnsi="微软雅黑" w:eastAsia="仿宋_GB2312"/>
          <w:color w:val="000000"/>
          <w:sz w:val="32"/>
          <w:szCs w:val="32"/>
          <w:shd w:val="clear" w:color="auto" w:fill="FFFFFF"/>
        </w:rPr>
        <w:t>482</w:t>
      </w:r>
      <w:r>
        <w:rPr>
          <w:rFonts w:hint="eastAsia" w:ascii="仿宋_GB2312" w:hAnsi="微软雅黑" w:eastAsia="仿宋_GB2312"/>
          <w:color w:val="000000"/>
          <w:sz w:val="32"/>
          <w:szCs w:val="32"/>
        </w:rPr>
        <w:t>户义务兵家庭；四是为解决重点优抚对象看病难问题，共为重点优抚对象发放医疗补助</w:t>
      </w:r>
      <w:r>
        <w:rPr>
          <w:rFonts w:hint="eastAsia" w:ascii="仿宋_GB2312" w:hAnsi="微软雅黑" w:eastAsia="仿宋_GB2312"/>
          <w:color w:val="000000"/>
          <w:sz w:val="32"/>
          <w:szCs w:val="32"/>
          <w:shd w:val="clear" w:color="auto" w:fill="FFFFFF"/>
          <w:lang w:val="en-US" w:eastAsia="zh-CN"/>
        </w:rPr>
        <w:t>440.81</w:t>
      </w:r>
      <w:r>
        <w:rPr>
          <w:rFonts w:hint="eastAsia" w:ascii="仿宋_GB2312" w:hAnsi="微软雅黑" w:eastAsia="仿宋_GB2312"/>
          <w:color w:val="000000"/>
          <w:sz w:val="32"/>
          <w:szCs w:val="32"/>
        </w:rPr>
        <w:t>万元。五是</w:t>
      </w:r>
      <w:r>
        <w:rPr>
          <w:rFonts w:hint="eastAsia" w:ascii="仿宋_GB2312" w:hAnsi="微软雅黑" w:eastAsia="仿宋_GB2312"/>
          <w:color w:val="000000"/>
          <w:sz w:val="32"/>
          <w:szCs w:val="32"/>
          <w:shd w:val="clear" w:color="auto" w:fill="FFFFFF"/>
          <w:lang w:eastAsia="zh-CN"/>
        </w:rPr>
        <w:t>2020</w:t>
      </w:r>
      <w:r>
        <w:rPr>
          <w:rFonts w:hint="eastAsia" w:ascii="仿宋_GB2312" w:hAnsi="微软雅黑" w:eastAsia="仿宋_GB2312"/>
          <w:color w:val="000000"/>
          <w:sz w:val="32"/>
          <w:szCs w:val="32"/>
        </w:rPr>
        <w:t>年为退役士兵、三属、复员军人、现役军人家属、军队离退休干部和士官、军队转业干部等对象悬挂“光荣之家”牌;完成全市优抚对象信息采集。</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sz w:val="32"/>
          <w:szCs w:val="32"/>
        </w:rPr>
        <w:t>3.大力抓好移交安置和就业培训工作。一是认真做好军转干部、转业士官、自主就业退役士兵等人员接收安置的相关工作。截止</w:t>
      </w:r>
      <w:r>
        <w:rPr>
          <w:rFonts w:hint="eastAsia" w:ascii="仿宋_GB2312" w:hAnsi="微软雅黑" w:eastAsia="仿宋_GB2312"/>
          <w:sz w:val="32"/>
          <w:szCs w:val="32"/>
          <w:shd w:val="clear" w:color="auto" w:fill="FFFFFF"/>
        </w:rPr>
        <w:t>12</w:t>
      </w:r>
      <w:r>
        <w:rPr>
          <w:rFonts w:hint="eastAsia" w:ascii="仿宋_GB2312" w:hAnsi="微软雅黑" w:eastAsia="仿宋_GB2312"/>
          <w:sz w:val="32"/>
          <w:szCs w:val="32"/>
        </w:rPr>
        <w:t>月底接收</w:t>
      </w:r>
      <w:r>
        <w:rPr>
          <w:rFonts w:hint="eastAsia" w:ascii="仿宋_GB2312" w:hAnsi="微软雅黑" w:eastAsia="仿宋_GB2312"/>
          <w:sz w:val="32"/>
          <w:szCs w:val="32"/>
          <w:shd w:val="clear" w:color="auto" w:fill="FFFFFF"/>
          <w:lang w:eastAsia="zh-CN"/>
        </w:rPr>
        <w:t>2020</w:t>
      </w:r>
      <w:r>
        <w:rPr>
          <w:rFonts w:hint="eastAsia" w:ascii="仿宋_GB2312" w:hAnsi="微软雅黑" w:eastAsia="仿宋_GB2312"/>
          <w:sz w:val="32"/>
          <w:szCs w:val="32"/>
        </w:rPr>
        <w:t>年秋冬季退役士兵</w:t>
      </w:r>
      <w:r>
        <w:rPr>
          <w:rFonts w:hint="eastAsia" w:ascii="仿宋_GB2312" w:hAnsi="微软雅黑" w:eastAsia="仿宋_GB2312"/>
          <w:sz w:val="32"/>
          <w:szCs w:val="32"/>
          <w:lang w:val="en-US" w:eastAsia="zh-CN"/>
        </w:rPr>
        <w:t>290</w:t>
      </w:r>
      <w:r>
        <w:rPr>
          <w:rFonts w:hint="eastAsia" w:ascii="仿宋_GB2312" w:hAnsi="微软雅黑" w:eastAsia="仿宋_GB2312"/>
          <w:sz w:val="32"/>
          <w:szCs w:val="32"/>
        </w:rPr>
        <w:t>人、</w:t>
      </w:r>
      <w:r>
        <w:rPr>
          <w:rFonts w:hint="eastAsia" w:ascii="仿宋" w:hAnsi="仿宋" w:eastAsia="仿宋"/>
          <w:sz w:val="32"/>
          <w:szCs w:val="32"/>
        </w:rPr>
        <w:t>其中政府安排工作对象</w:t>
      </w:r>
      <w:r>
        <w:rPr>
          <w:rFonts w:hint="eastAsia" w:ascii="仿宋" w:hAnsi="仿宋" w:eastAsia="仿宋"/>
          <w:sz w:val="32"/>
          <w:szCs w:val="32"/>
          <w:lang w:val="en-US" w:eastAsia="zh-CN"/>
        </w:rPr>
        <w:t>53</w:t>
      </w:r>
      <w:r>
        <w:rPr>
          <w:rFonts w:hint="eastAsia" w:ascii="仿宋" w:hAnsi="仿宋" w:eastAsia="仿宋"/>
          <w:sz w:val="32"/>
          <w:szCs w:val="32"/>
        </w:rPr>
        <w:t>名，自主就业退役士兵</w:t>
      </w:r>
      <w:r>
        <w:rPr>
          <w:rFonts w:hint="eastAsia" w:ascii="仿宋" w:hAnsi="仿宋" w:eastAsia="仿宋"/>
          <w:sz w:val="32"/>
          <w:szCs w:val="32"/>
          <w:lang w:val="en-US" w:eastAsia="zh-CN"/>
        </w:rPr>
        <w:t>237</w:t>
      </w:r>
      <w:r>
        <w:rPr>
          <w:rFonts w:hint="eastAsia" w:ascii="仿宋" w:hAnsi="仿宋" w:eastAsia="仿宋"/>
          <w:sz w:val="32"/>
          <w:szCs w:val="32"/>
        </w:rPr>
        <w:t>名</w:t>
      </w:r>
      <w:r>
        <w:rPr>
          <w:rFonts w:hint="eastAsia" w:ascii="仿宋_GB2312" w:hAnsi="微软雅黑" w:eastAsia="仿宋_GB2312"/>
          <w:sz w:val="32"/>
          <w:szCs w:val="32"/>
        </w:rPr>
        <w:t>。二是完成符合政府安置工作条件退役士兵工作安排。我县</w:t>
      </w:r>
      <w:r>
        <w:rPr>
          <w:rFonts w:hint="eastAsia" w:ascii="仿宋_GB2312" w:hAnsi="微软雅黑" w:eastAsia="仿宋_GB2312"/>
          <w:sz w:val="32"/>
          <w:szCs w:val="32"/>
          <w:shd w:val="clear" w:color="auto" w:fill="FFFFFF"/>
          <w:lang w:eastAsia="zh-CN"/>
        </w:rPr>
        <w:t>2020</w:t>
      </w:r>
      <w:r>
        <w:rPr>
          <w:rFonts w:hint="eastAsia" w:ascii="仿宋_GB2312" w:hAnsi="微软雅黑" w:eastAsia="仿宋_GB2312"/>
          <w:sz w:val="32"/>
          <w:szCs w:val="32"/>
        </w:rPr>
        <w:t>年符合政府安排工作条件退役士兵共计</w:t>
      </w:r>
      <w:r>
        <w:rPr>
          <w:rFonts w:hint="eastAsia" w:ascii="仿宋_GB2312" w:hAnsi="微软雅黑" w:eastAsia="仿宋_GB2312"/>
          <w:sz w:val="32"/>
          <w:szCs w:val="32"/>
          <w:shd w:val="clear" w:color="auto" w:fill="FFFFFF"/>
        </w:rPr>
        <w:t xml:space="preserve"> </w:t>
      </w:r>
      <w:r>
        <w:rPr>
          <w:rFonts w:hint="eastAsia" w:ascii="仿宋_GB2312" w:hAnsi="微软雅黑" w:eastAsia="仿宋_GB2312"/>
          <w:sz w:val="32"/>
          <w:szCs w:val="32"/>
          <w:shd w:val="clear" w:color="auto" w:fill="FFFFFF"/>
          <w:lang w:val="en-US" w:eastAsia="zh-CN"/>
        </w:rPr>
        <w:t>53</w:t>
      </w:r>
      <w:r>
        <w:rPr>
          <w:rFonts w:hint="eastAsia" w:ascii="仿宋_GB2312" w:hAnsi="微软雅黑" w:eastAsia="仿宋_GB2312"/>
          <w:sz w:val="32"/>
          <w:szCs w:val="32"/>
        </w:rPr>
        <w:t>人，会按照同有关部门共同完成符合政府安置工作条件退役士兵服役量化评分及选岗工作。三是做好退役士兵技能培训工作。通过宣传发动，</w:t>
      </w:r>
      <w:r>
        <w:rPr>
          <w:rFonts w:hint="eastAsia" w:ascii="仿宋_GB2312" w:hAnsi="微软雅黑" w:eastAsia="仿宋_GB2312"/>
          <w:sz w:val="32"/>
          <w:szCs w:val="32"/>
          <w:lang w:val="en-US" w:eastAsia="zh-CN"/>
        </w:rPr>
        <w:t>2020</w:t>
      </w:r>
      <w:r>
        <w:rPr>
          <w:rFonts w:hint="eastAsia" w:ascii="仿宋_GB2312" w:hAnsi="微软雅黑" w:eastAsia="仿宋_GB2312"/>
          <w:sz w:val="32"/>
          <w:szCs w:val="32"/>
        </w:rPr>
        <w:t>年度</w:t>
      </w:r>
      <w:r>
        <w:rPr>
          <w:rFonts w:hint="eastAsia" w:ascii="仿宋" w:hAnsi="仿宋" w:eastAsia="仿宋"/>
          <w:sz w:val="32"/>
          <w:szCs w:val="32"/>
        </w:rPr>
        <w:t>完成了对</w:t>
      </w:r>
      <w:r>
        <w:rPr>
          <w:rFonts w:hint="eastAsia" w:ascii="仿宋" w:hAnsi="仿宋" w:eastAsia="仿宋"/>
          <w:sz w:val="32"/>
          <w:szCs w:val="32"/>
          <w:lang w:val="en-US" w:eastAsia="zh-CN"/>
        </w:rPr>
        <w:t>237</w:t>
      </w:r>
      <w:r>
        <w:rPr>
          <w:rFonts w:hint="eastAsia" w:ascii="仿宋" w:hAnsi="仿宋" w:eastAsia="仿宋"/>
          <w:sz w:val="32"/>
          <w:szCs w:val="32"/>
        </w:rPr>
        <w:t>名自主就业退役士兵职业教育与技能培训，知晓率、培训率、就业率均达99%以上，较好的完成了退役士兵接收和安置任务。</w:t>
      </w:r>
      <w:r>
        <w:rPr>
          <w:rFonts w:hint="eastAsia" w:ascii="仿宋_GB2312" w:hAnsi="微软雅黑" w:eastAsia="仿宋_GB2312"/>
          <w:sz w:val="32"/>
          <w:szCs w:val="32"/>
        </w:rPr>
        <w:t>四是做好退役士兵就业创业帮扶。</w:t>
      </w:r>
    </w:p>
    <w:p>
      <w:pPr>
        <w:pStyle w:val="12"/>
        <w:shd w:val="clear" w:color="auto" w:fill="FFFFFF"/>
        <w:spacing w:before="225" w:beforeAutospacing="0" w:after="0" w:afterAutospacing="0"/>
        <w:ind w:firstLine="645"/>
        <w:textAlignment w:val="baseline"/>
        <w:rPr>
          <w:rFonts w:ascii="仿宋_GB2312" w:hAnsi="微软雅黑" w:eastAsia="仿宋_GB2312"/>
          <w:sz w:val="32"/>
          <w:szCs w:val="32"/>
        </w:rPr>
      </w:pPr>
      <w:r>
        <w:rPr>
          <w:rFonts w:hint="eastAsia" w:ascii="仿宋_GB2312" w:hAnsi="微软雅黑" w:eastAsia="仿宋_GB2312"/>
          <w:sz w:val="32"/>
          <w:szCs w:val="32"/>
        </w:rPr>
        <w:t>4.落实好军休人员管理服务工作。桃源县军休所现有军休人员68人（其中军休干部</w:t>
      </w:r>
      <w:r>
        <w:rPr>
          <w:rFonts w:hint="eastAsia" w:ascii="仿宋_GB2312" w:hAnsi="微软雅黑" w:eastAsia="仿宋_GB2312"/>
          <w:sz w:val="32"/>
          <w:szCs w:val="32"/>
          <w:shd w:val="clear" w:color="auto" w:fill="FFFFFF"/>
        </w:rPr>
        <w:t>36</w:t>
      </w:r>
      <w:r>
        <w:rPr>
          <w:rFonts w:hint="eastAsia" w:ascii="仿宋_GB2312" w:hAnsi="微软雅黑" w:eastAsia="仿宋_GB2312"/>
          <w:sz w:val="32"/>
          <w:szCs w:val="32"/>
        </w:rPr>
        <w:t xml:space="preserve">名、军休士官18名、无军籍职工10名，落实政策干部4名），退休遗属13名。桃源县军休所以落实军休干部待遇为工作核心，以提升军休干部服务管理质量为重点做好服务保障工作。 </w:t>
      </w:r>
    </w:p>
    <w:p>
      <w:pPr>
        <w:pStyle w:val="12"/>
        <w:shd w:val="clear" w:color="auto" w:fill="FFFFFF"/>
        <w:spacing w:before="225" w:beforeAutospacing="0" w:after="0" w:afterAutospacing="0"/>
        <w:ind w:firstLine="645"/>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5.充分发挥烈士陵园爱国主义教育基地作用。一是以加强硬件建设为出发点，提升园区新形象。二是在弘扬革命先烈精神，发挥宣传教育作用方面，取得了良好的效果。</w:t>
      </w:r>
    </w:p>
    <w:p>
      <w:pPr>
        <w:pStyle w:val="12"/>
        <w:shd w:val="clear" w:color="auto" w:fill="FFFFFF"/>
        <w:spacing w:before="225" w:beforeAutospacing="0" w:after="0" w:afterAutospacing="0"/>
        <w:ind w:firstLine="645"/>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6.着力强化重点人员稳控，助推信访维稳取得新成效。一是切实摸清底数。二是加大诉求摸排力度。</w:t>
      </w:r>
      <w:r>
        <w:rPr>
          <w:rFonts w:hint="eastAsia" w:ascii="仿宋_GB2312" w:hAnsi="微软雅黑" w:eastAsia="仿宋_GB2312"/>
          <w:color w:val="000000"/>
          <w:sz w:val="32"/>
          <w:szCs w:val="32"/>
          <w:shd w:val="clear" w:color="auto" w:fill="FFFFFF"/>
        </w:rPr>
        <w:t>三是确保稳控到位。</w:t>
      </w:r>
      <w:r>
        <w:rPr>
          <w:rFonts w:hint="eastAsia" w:ascii="仿宋_GB2312" w:hAnsi="微软雅黑" w:eastAsia="仿宋_GB2312"/>
          <w:color w:val="000000"/>
          <w:sz w:val="32"/>
          <w:szCs w:val="32"/>
        </w:rPr>
        <w:t>四是有效解决遗留问题。严格按照相关文件、政策要求，做好遗留问题化解工作。</w:t>
      </w:r>
    </w:p>
    <w:p>
      <w:pPr>
        <w:ind w:firstLine="640" w:firstLineChars="200"/>
        <w:rPr>
          <w:rFonts w:ascii="Times New Roman" w:hAnsi="Times New Roman" w:eastAsia="黑体"/>
          <w:color w:val="222222"/>
          <w:kern w:val="0"/>
          <w:sz w:val="32"/>
          <w:szCs w:val="32"/>
        </w:rPr>
      </w:pPr>
      <w:r>
        <w:rPr>
          <w:rFonts w:ascii="Times New Roman" w:hAnsi="Times New Roman" w:eastAsia="黑体"/>
          <w:color w:val="222222"/>
          <w:kern w:val="0"/>
          <w:sz w:val="32"/>
          <w:szCs w:val="32"/>
        </w:rPr>
        <w:t>七、存在的</w:t>
      </w:r>
      <w:r>
        <w:rPr>
          <w:rFonts w:hint="eastAsia" w:ascii="Times New Roman" w:hAnsi="Times New Roman" w:eastAsia="黑体"/>
          <w:color w:val="222222"/>
          <w:kern w:val="0"/>
          <w:sz w:val="32"/>
          <w:szCs w:val="32"/>
        </w:rPr>
        <w:t>主要</w:t>
      </w:r>
      <w:r>
        <w:rPr>
          <w:rFonts w:ascii="Times New Roman" w:hAnsi="Times New Roman" w:eastAsia="黑体"/>
          <w:color w:val="222222"/>
          <w:kern w:val="0"/>
          <w:sz w:val="32"/>
          <w:szCs w:val="32"/>
        </w:rPr>
        <w:t>问题</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1、抚恤补助标准与退役军人暨其他优抚对象的期望值有差距，因地域补助标准不同而引发的信访问题依然存在。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2、因部分退役军人服役期间的实际情况与当事人档案记录不完整，导致政策边缘人员诉求凸显。</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3、优抚对象救助资金存在较大逆差，对优抚对象家庭救助存在资金缺口。春节、八一两个重大节日的走记慰问资金，帮扶解困资金预算不足，优抚对象临时价格补贴无预算。</w:t>
      </w:r>
    </w:p>
    <w:p>
      <w:pPr>
        <w:widowControl/>
        <w:spacing w:line="56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八、有关建议</w:t>
      </w:r>
    </w:p>
    <w:p>
      <w:pPr>
        <w:widowControl/>
        <w:spacing w:before="300" w:after="100" w:afterAutospacing="1" w:line="420" w:lineRule="atLeast"/>
        <w:ind w:firstLine="800" w:firstLineChars="250"/>
        <w:jc w:val="left"/>
        <w:rPr>
          <w:rFonts w:ascii="仿宋" w:hAnsi="仿宋" w:eastAsia="仿宋" w:cs="宋体"/>
          <w:color w:val="010101"/>
          <w:kern w:val="0"/>
          <w:sz w:val="32"/>
          <w:szCs w:val="32"/>
        </w:rPr>
      </w:pPr>
      <w:r>
        <w:rPr>
          <w:rFonts w:hint="eastAsia" w:ascii="仿宋" w:hAnsi="仿宋" w:eastAsia="仿宋" w:cs="宋体"/>
          <w:bCs/>
          <w:color w:val="010101"/>
          <w:kern w:val="0"/>
          <w:sz w:val="32"/>
          <w:szCs w:val="32"/>
        </w:rPr>
        <w:t>加强新事业单位会计制度和新预算法学习培训</w:t>
      </w:r>
      <w:r>
        <w:rPr>
          <w:rFonts w:hint="eastAsia" w:ascii="仿宋" w:hAnsi="仿宋" w:eastAsia="仿宋" w:cs="宋体"/>
          <w:color w:val="010101"/>
          <w:kern w:val="0"/>
          <w:sz w:val="32"/>
          <w:szCs w:val="32"/>
        </w:rPr>
        <w:t xml:space="preserve"> 。加强新《预算法》、《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widowControl/>
        <w:spacing w:before="300" w:after="100" w:afterAutospacing="1" w:line="420" w:lineRule="atLeast"/>
        <w:ind w:firstLine="800" w:firstLineChars="25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附件一：部门整体支出绩效评价指标体系表</w:t>
      </w:r>
    </w:p>
    <w:p>
      <w:pPr>
        <w:widowControl/>
        <w:spacing w:before="300" w:after="100" w:afterAutospacing="1" w:line="420" w:lineRule="atLeast"/>
        <w:ind w:firstLine="800" w:firstLineChars="25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 xml:space="preserve">                    桃源县退役军人事务局</w:t>
      </w:r>
    </w:p>
    <w:p>
      <w:pPr>
        <w:widowControl/>
        <w:spacing w:before="300" w:after="100" w:afterAutospacing="1" w:line="420" w:lineRule="atLeast"/>
        <w:ind w:firstLine="800" w:firstLineChars="250"/>
        <w:jc w:val="left"/>
        <w:rPr>
          <w:rFonts w:ascii="仿宋" w:hAnsi="仿宋" w:eastAsia="仿宋" w:cs="宋体"/>
          <w:color w:val="010101"/>
          <w:kern w:val="0"/>
          <w:sz w:val="32"/>
          <w:szCs w:val="32"/>
        </w:rPr>
      </w:pPr>
      <w:r>
        <w:rPr>
          <w:rFonts w:hint="eastAsia" w:ascii="仿宋" w:hAnsi="仿宋" w:eastAsia="仿宋" w:cs="宋体"/>
          <w:color w:val="010101"/>
          <w:kern w:val="0"/>
          <w:sz w:val="32"/>
          <w:szCs w:val="32"/>
        </w:rPr>
        <w:t xml:space="preserve">                        202</w:t>
      </w:r>
      <w:r>
        <w:rPr>
          <w:rFonts w:hint="eastAsia" w:ascii="仿宋" w:hAnsi="仿宋" w:eastAsia="仿宋" w:cs="宋体"/>
          <w:color w:val="010101"/>
          <w:kern w:val="0"/>
          <w:sz w:val="32"/>
          <w:szCs w:val="32"/>
          <w:lang w:val="en-US" w:eastAsia="zh-CN"/>
        </w:rPr>
        <w:t>1</w:t>
      </w:r>
      <w:bookmarkStart w:id="0" w:name="_GoBack"/>
      <w:bookmarkEnd w:id="0"/>
      <w:r>
        <w:rPr>
          <w:rFonts w:hint="eastAsia" w:ascii="仿宋" w:hAnsi="仿宋" w:eastAsia="仿宋" w:cs="宋体"/>
          <w:color w:val="010101"/>
          <w:kern w:val="0"/>
          <w:sz w:val="32"/>
          <w:szCs w:val="32"/>
        </w:rPr>
        <w:t>年4月16日</w:t>
      </w: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宋体" w:hAnsi="宋体" w:cs="宋体"/>
          <w:b/>
          <w:bCs/>
          <w:kern w:val="0"/>
          <w:sz w:val="44"/>
          <w:szCs w:val="44"/>
        </w:rPr>
      </w:pPr>
    </w:p>
    <w:p>
      <w:pPr>
        <w:widowControl/>
        <w:spacing w:line="560" w:lineRule="exact"/>
        <w:ind w:firstLine="640"/>
        <w:rPr>
          <w:rFonts w:ascii="宋体" w:hAnsi="宋体" w:cs="宋体"/>
          <w:b/>
          <w:bCs/>
          <w:kern w:val="0"/>
          <w:sz w:val="44"/>
          <w:szCs w:val="44"/>
        </w:rPr>
      </w:pPr>
    </w:p>
    <w:p>
      <w:pPr>
        <w:widowControl/>
        <w:spacing w:line="560" w:lineRule="exact"/>
        <w:ind w:firstLine="640"/>
        <w:rPr>
          <w:rFonts w:ascii="宋体" w:hAnsi="宋体" w:cs="宋体"/>
          <w:b/>
          <w:bCs/>
          <w:kern w:val="0"/>
          <w:sz w:val="44"/>
          <w:szCs w:val="44"/>
        </w:rPr>
      </w:pPr>
    </w:p>
    <w:tbl>
      <w:tblPr>
        <w:tblStyle w:val="13"/>
        <w:tblpPr w:leftFromText="180" w:rightFromText="180" w:vertAnchor="text" w:horzAnchor="page" w:tblpXSpec="center" w:tblpY="-58"/>
        <w:tblOverlap w:val="never"/>
        <w:tblW w:w="9429"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l2br w:val="nil"/>
              <w:tr2bl w:val="nil"/>
            </w:tcBorders>
            <w:tcMar>
              <w:top w:w="15" w:type="dxa"/>
              <w:left w:w="15" w:type="dxa"/>
              <w:right w:w="15" w:type="dxa"/>
            </w:tcMar>
            <w:vAlign w:val="center"/>
          </w:tcPr>
          <w:p>
            <w:pPr>
              <w:widowControl/>
              <w:spacing w:beforeLines="50" w:afterLines="50"/>
              <w:jc w:val="center"/>
              <w:rPr>
                <w:rFonts w:ascii="Times New Roman" w:hAnsi="Times New Roman" w:eastAsia="黑体"/>
                <w:bCs/>
                <w:color w:val="000000"/>
                <w:kern w:val="0"/>
                <w:sz w:val="24"/>
                <w:szCs w:val="24"/>
              </w:rPr>
            </w:pPr>
            <w:r>
              <w:rPr>
                <w:rFonts w:ascii="Times New Roman" w:hAnsi="Times New Roman" w:eastAsia="方正小标宋_GBK"/>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56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一级</w:t>
            </w:r>
            <w:r>
              <w:rPr>
                <w:rFonts w:ascii="Times New Roman" w:hAnsi="Times New Roman" w:eastAsia="黑体"/>
                <w:bCs/>
                <w:color w:val="000000"/>
                <w:kern w:val="0"/>
                <w:sz w:val="24"/>
                <w:szCs w:val="24"/>
              </w:rPr>
              <w:br w:type="textWrapping"/>
            </w:r>
            <w:r>
              <w:rPr>
                <w:rFonts w:ascii="Times New Roman" w:hAnsi="Times New Roman" w:eastAsia="黑体"/>
                <w:bCs/>
                <w:color w:val="000000"/>
                <w:kern w:val="0"/>
                <w:sz w:val="24"/>
                <w:szCs w:val="24"/>
              </w:rPr>
              <w:t>指标</w:t>
            </w:r>
          </w:p>
        </w:tc>
        <w:tc>
          <w:tcPr>
            <w:tcW w:w="58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二级</w:t>
            </w:r>
            <w:r>
              <w:rPr>
                <w:rFonts w:ascii="Times New Roman" w:hAnsi="Times New Roman" w:eastAsia="黑体"/>
                <w:bCs/>
                <w:color w:val="000000"/>
                <w:kern w:val="0"/>
                <w:sz w:val="24"/>
                <w:szCs w:val="24"/>
              </w:rPr>
              <w:br w:type="textWrapping"/>
            </w:r>
            <w:r>
              <w:rPr>
                <w:rFonts w:ascii="Times New Roman" w:hAnsi="Times New Roman" w:eastAsia="黑体"/>
                <w:bCs/>
                <w:color w:val="000000"/>
                <w:kern w:val="0"/>
                <w:sz w:val="24"/>
                <w:szCs w:val="24"/>
              </w:rPr>
              <w:t>指标</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kern w:val="0"/>
                <w:sz w:val="24"/>
                <w:szCs w:val="24"/>
              </w:rPr>
            </w:pPr>
            <w:r>
              <w:rPr>
                <w:rFonts w:ascii="Times New Roman" w:hAnsi="Times New Roman" w:eastAsia="黑体"/>
                <w:bCs/>
                <w:color w:val="000000"/>
                <w:kern w:val="0"/>
                <w:sz w:val="24"/>
                <w:szCs w:val="24"/>
              </w:rPr>
              <w:t>三级</w:t>
            </w:r>
          </w:p>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指标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分值</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指标解释</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rPr>
              <w:t>评分标准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bCs/>
                <w:color w:val="000000"/>
                <w:kern w:val="0"/>
                <w:sz w:val="24"/>
                <w:szCs w:val="24"/>
              </w:rPr>
            </w:pPr>
            <w:r>
              <w:rPr>
                <w:rFonts w:hint="eastAsia" w:ascii="Times New Roman" w:hAnsi="Times New Roman" w:eastAsia="黑体"/>
                <w:bCs/>
                <w:color w:val="000000"/>
                <w:kern w:val="0"/>
                <w:sz w:val="24"/>
                <w:szCs w:val="24"/>
              </w:rPr>
              <w:t>自评</w:t>
            </w:r>
          </w:p>
          <w:p>
            <w:pPr>
              <w:widowControl/>
              <w:spacing w:line="300" w:lineRule="exact"/>
              <w:jc w:val="center"/>
              <w:textAlignment w:val="center"/>
              <w:rPr>
                <w:rFonts w:ascii="Times New Roman" w:hAnsi="Times New Roman" w:eastAsia="黑体"/>
                <w:bCs/>
                <w:color w:val="000000"/>
                <w:kern w:val="0"/>
                <w:sz w:val="24"/>
                <w:szCs w:val="24"/>
              </w:rPr>
            </w:pPr>
            <w:r>
              <w:rPr>
                <w:rFonts w:hint="eastAsia" w:ascii="Times New Roman" w:hAnsi="Times New Roman" w:eastAsia="黑体"/>
                <w:bCs/>
                <w:color w:val="000000"/>
                <w:kern w:val="0"/>
                <w:sz w:val="24"/>
                <w:szCs w:val="24"/>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投   入</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目标</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设定</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绩效目标合理性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①符合国家法律法规、国民经济和社会发展总体规划，得1分；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②符合部门职责，得1分；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绩效指标明确性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7</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①将部门整体的绩效目标细化分解为具体的工作任务，得1分；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②通过清晰、可衡量的指标值予以体现，得2分；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③与部门年度的任务数或计划数相对应，得2分；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④与本年度部门预算资金相匹配，得2分。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3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配置</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在职人员控制率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3</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在职人员控制率=（在职人员数/编制数）×100%。</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在职人员数：部门（单位）实际在职人数，以财政部</w:t>
            </w:r>
            <w:r>
              <w:rPr>
                <w:rFonts w:hint="eastAsia" w:ascii="Times New Roman" w:hAnsi="Times New Roman" w:eastAsia="仿宋"/>
                <w:color w:val="000000"/>
                <w:kern w:val="0"/>
                <w:sz w:val="24"/>
                <w:szCs w:val="24"/>
              </w:rPr>
              <w:t>门</w:t>
            </w:r>
            <w:r>
              <w:rPr>
                <w:rFonts w:ascii="Times New Roman" w:hAnsi="Times New Roman" w:eastAsia="仿宋"/>
                <w:color w:val="000000"/>
                <w:kern w:val="0"/>
                <w:sz w:val="24"/>
                <w:szCs w:val="24"/>
              </w:rPr>
              <w:t>确定的部门决算编制口径为准。扣掉编制部门和劳动部门批复同意的临聘人员。</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在职人员控制率≤100%，得3分；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“三公经费”变动率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“三公经费”变动率=[（本年度“三公经费”预算数-上年度“三公经费”预算数）/上年度“三公经费”预算数]×100%。</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“三公经费”变动率≤0，得5分；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重点支出安排率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重点支出安排率=（重点项目支出/项目总支出）×100%。</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重点支出安排率≥90%，得5分；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80%（含）-90%，得4分；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70%（含）-80%，得3分；</w:t>
            </w:r>
          </w:p>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60%（含）-70%，得2分；</w:t>
            </w:r>
          </w:p>
          <w:p>
            <w:pPr>
              <w:widowControl/>
              <w:spacing w:line="28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＜60%，得0分。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过   程</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执行</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预算完成率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4</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预算完成率≥95%，得4分；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预算调整率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预算调整率=（本年追加预算/年初预算）×100%。</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预算调整率≤5%，得2分；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5%-10%（含），得1.5分；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10%-15%（含），得1分；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15%-20%（含），得0.5分；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＞20%，得0分。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新建楼堂馆所面积控制率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楼堂馆所面积控制率=实际建设面积/批准建设面积×100% 。</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楼堂馆所面积控制率≤100%，得2分；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每超出5%扣1分，扣完为止。</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新建楼堂馆所投资概算控制率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楼堂馆所投资预算控制率=实际投资金额/批准投资金额×100% 。</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该指标以</w:t>
            </w:r>
            <w:r>
              <w:rPr>
                <w:rFonts w:hint="eastAsia" w:ascii="Times New Roman" w:hAnsi="Times New Roman" w:eastAsia="仿宋"/>
                <w:color w:val="000000"/>
                <w:kern w:val="0"/>
                <w:sz w:val="24"/>
                <w:szCs w:val="24"/>
                <w:lang w:eastAsia="zh-CN"/>
              </w:rPr>
              <w:t>2020</w:t>
            </w:r>
            <w:r>
              <w:rPr>
                <w:rFonts w:ascii="Times New Roman" w:hAnsi="Times New Roman" w:eastAsia="仿宋"/>
                <w:color w:val="000000"/>
                <w:kern w:val="0"/>
                <w:sz w:val="24"/>
                <w:szCs w:val="24"/>
              </w:rPr>
              <w:t>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楼堂馆所面积控制率≤100%，得2分；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每超出5%扣1分，扣完为止。</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公用经费控制率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公用经费控制率≤100%，得2分；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“三公经费”控制率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“三公经费”控制率≤100%，得2分；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政府采购执行率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政府采购执行率=（实际政府采购金额/政府采购预算数）×100%；</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政府采购执行率=100%，得2分；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每超过（降低）5%，扣1分，扣完为止。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预算</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管理</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②相关管理制度是否合法、合规、完整；</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③相关管理制度是否得到有效执行。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资金使用合规性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①是否符合国家财经法规和财务管理制度规定以及有关专项资金管理办法的规定；</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②资金的拨付是否有完整的审批程序和手续；</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③项目的重大开支是否经过评估论证；</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④是否符合部门预算批复的用途；</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预决算信息公开性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2</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①是否按规定内容、规定时限公开预决算信息；</w:t>
            </w:r>
          </w:p>
          <w:p>
            <w:pPr>
              <w:widowControl/>
              <w:spacing w:line="300" w:lineRule="exact"/>
              <w:ind w:firstLine="240" w:firstLineChars="100"/>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①按规定内容、规定时限公开预决算信息，得1分；</w:t>
            </w:r>
          </w:p>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②基础数据信息和会计信息资料真实、完整、准确，得1分。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资产</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管理</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1</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①已制定或具有资产管理制度，相关资金管理制度合法、合规、完整。得0.5分；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资产管理安全性</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1</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①资产保存完整、配置合理、处置规范，得0.5分；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②资产账务管理合规，帐实相符，得0.5分；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固定资产利用率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1</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实际在用固定资产总额与所有固定资产总额的比率，用以反映和考核部门（单位）固定资产使用效率程度。</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固定资产利用率=100%，得1分；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每低于1%，扣0.1分，扣完为止。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产   出</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职责</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履行</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个性化指标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17</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ascii="Times New Roman" w:hAnsi="Times New Roman" w:eastAsia="仿宋"/>
                <w:color w:val="000000"/>
                <w:sz w:val="24"/>
                <w:szCs w:val="24"/>
              </w:rPr>
            </w:pPr>
            <w:r>
              <w:rPr>
                <w:rFonts w:ascii="Times New Roman" w:hAnsi="Times New Roman" w:eastAsia="仿宋"/>
                <w:color w:val="000000"/>
                <w:kern w:val="0"/>
                <w:sz w:val="24"/>
                <w:szCs w:val="24"/>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ascii="Times New Roman" w:hAnsi="Times New Roman" w:eastAsia="仿宋"/>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rPr>
                <w:rFonts w:ascii="Times New Roman" w:hAnsi="Times New Roman" w:eastAsia="仿宋"/>
                <w:color w:val="000000"/>
                <w:sz w:val="24"/>
                <w:szCs w:val="24"/>
              </w:rPr>
            </w:pPr>
            <w:r>
              <w:rPr>
                <w:rFonts w:hint="eastAsia" w:ascii="Times New Roman" w:hAnsi="Times New Roman" w:eastAsia="仿宋"/>
                <w:color w:val="000000"/>
                <w:sz w:val="24"/>
                <w:szCs w:val="24"/>
              </w:rPr>
              <w:t>17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重点工作办结率</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重点工作办结率=（重点工作实际完成数/交办或下达数）×100%。</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效   果</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履职</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效益</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经济效益</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社会效益</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olor w:val="000000"/>
                <w:sz w:val="24"/>
                <w:szCs w:val="24"/>
              </w:rPr>
            </w:pPr>
            <w:r>
              <w:rPr>
                <w:rFonts w:hint="eastAsia" w:ascii="Times New Roman" w:hAnsi="Times New Roman" w:eastAsia="仿宋"/>
                <w:color w:val="00000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生态效益</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olor w:val="000000"/>
                <w:sz w:val="24"/>
                <w:szCs w:val="24"/>
              </w:rPr>
            </w:pPr>
            <w:r>
              <w:rPr>
                <w:rFonts w:hint="eastAsia" w:ascii="Times New Roman" w:hAnsi="Times New Roman" w:eastAsia="仿宋"/>
                <w:color w:val="00000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行政效能</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社会公众或服务对象满意度</w:t>
            </w: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5</w:t>
            </w:r>
          </w:p>
        </w:tc>
        <w:tc>
          <w:tcPr>
            <w:tcW w:w="33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社会公众或部门（单位）的服务对象对部门履职效果的满意程度。</w:t>
            </w:r>
            <w:r>
              <w:rPr>
                <w:rFonts w:ascii="Times New Roman" w:hAnsi="Times New Roman" w:eastAsia="仿宋"/>
                <w:color w:val="000000"/>
                <w:kern w:val="0"/>
                <w:sz w:val="24"/>
                <w:szCs w:val="24"/>
              </w:rPr>
              <w:br w:type="textWrapping"/>
            </w:r>
            <w:r>
              <w:rPr>
                <w:rFonts w:ascii="Times New Roman" w:hAnsi="Times New Roman" w:eastAsia="仿宋"/>
                <w:color w:val="000000"/>
                <w:kern w:val="0"/>
                <w:sz w:val="24"/>
                <w:szCs w:val="24"/>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≥90%，得5分；</w:t>
            </w:r>
          </w:p>
          <w:p>
            <w:pPr>
              <w:widowControl/>
              <w:spacing w:line="300" w:lineRule="exact"/>
              <w:ind w:firstLine="240" w:firstLineChars="100"/>
              <w:jc w:val="left"/>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每降低1%，扣0.5分，扣完为止。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 w:val="24"/>
                <w:szCs w:val="24"/>
              </w:rPr>
              <w:t>合计</w:t>
            </w:r>
          </w:p>
        </w:tc>
        <w:tc>
          <w:tcPr>
            <w:tcW w:w="65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line="300" w:lineRule="exact"/>
              <w:jc w:val="center"/>
              <w:rPr>
                <w:rFonts w:ascii="Times New Roman" w:hAnsi="Times New Roman" w:eastAsia="仿宋"/>
                <w:color w:val="000000"/>
                <w:sz w:val="24"/>
                <w:szCs w:val="24"/>
              </w:rPr>
            </w:pPr>
          </w:p>
        </w:tc>
        <w:tc>
          <w:tcPr>
            <w:tcW w:w="36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olor w:val="000000"/>
                <w:sz w:val="24"/>
                <w:szCs w:val="24"/>
              </w:rPr>
            </w:pPr>
            <w:r>
              <w:rPr>
                <w:rFonts w:ascii="Times New Roman" w:hAnsi="Times New Roman" w:eastAsia="仿宋"/>
                <w:color w:val="000000"/>
                <w:kern w:val="0"/>
                <w:szCs w:val="21"/>
              </w:rPr>
              <w:t>100</w:t>
            </w:r>
          </w:p>
        </w:tc>
        <w:tc>
          <w:tcPr>
            <w:tcW w:w="337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line="300" w:lineRule="exact"/>
              <w:rPr>
                <w:rFonts w:ascii="Times New Roman" w:hAnsi="Times New Roman" w:eastAsia="仿宋"/>
                <w:color w:val="000000"/>
                <w:sz w:val="24"/>
                <w:szCs w:val="24"/>
              </w:rPr>
            </w:pPr>
          </w:p>
        </w:tc>
        <w:tc>
          <w:tcPr>
            <w:tcW w:w="323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olor w:val="000000"/>
                <w:sz w:val="24"/>
                <w:szCs w:val="24"/>
              </w:rPr>
            </w:pPr>
          </w:p>
        </w:tc>
        <w:tc>
          <w:tcPr>
            <w:tcW w:w="65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olor w:val="000000"/>
                <w:sz w:val="24"/>
                <w:szCs w:val="24"/>
              </w:rPr>
            </w:pPr>
            <w:r>
              <w:rPr>
                <w:rFonts w:hint="eastAsia" w:ascii="Times New Roman" w:hAnsi="Times New Roman" w:eastAsia="仿宋"/>
                <w:color w:val="000000"/>
                <w:sz w:val="24"/>
                <w:szCs w:val="24"/>
              </w:rPr>
              <w:t>100</w:t>
            </w:r>
          </w:p>
          <w:p>
            <w:pPr>
              <w:widowControl/>
              <w:spacing w:line="300" w:lineRule="exact"/>
              <w:ind w:firstLine="240" w:firstLineChars="100"/>
              <w:rPr>
                <w:rFonts w:ascii="Times New Roman" w:hAnsi="Times New Roman" w:eastAsia="仿宋"/>
                <w:color w:val="000000"/>
                <w:sz w:val="24"/>
                <w:szCs w:val="24"/>
              </w:rPr>
            </w:pPr>
          </w:p>
        </w:tc>
      </w:tr>
    </w:tbl>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widowControl/>
        <w:spacing w:line="560" w:lineRule="exact"/>
        <w:ind w:firstLine="640"/>
        <w:rPr>
          <w:rFonts w:ascii="Times New Roman" w:hAnsi="Times New Roman" w:eastAsia="黑体"/>
          <w:color w:val="000000"/>
          <w:sz w:val="32"/>
          <w:szCs w:val="32"/>
        </w:rPr>
      </w:pPr>
    </w:p>
    <w:p>
      <w:pPr>
        <w:spacing w:line="560" w:lineRule="exact"/>
        <w:ind w:firstLine="320" w:firstLineChars="100"/>
        <w:rPr>
          <w:rFonts w:ascii="Times New Roman" w:hAnsi="Times New Roman" w:eastAsia="黑体"/>
          <w:color w:val="000000"/>
          <w:sz w:val="32"/>
          <w:szCs w:val="32"/>
        </w:rPr>
      </w:pPr>
    </w:p>
    <w:p>
      <w:pPr>
        <w:spacing w:line="560" w:lineRule="exact"/>
        <w:ind w:firstLine="1800" w:firstLineChars="500"/>
        <w:rPr>
          <w:rFonts w:ascii="Times New Roman" w:hAnsi="Times New Roman" w:eastAsia="黑体"/>
          <w:kern w:val="0"/>
          <w:sz w:val="32"/>
          <w:szCs w:val="32"/>
        </w:rPr>
      </w:pPr>
      <w:r>
        <w:rPr>
          <w:rFonts w:ascii="Times New Roman" w:hAnsi="Times New Roman"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kern w:val="0"/>
          <w:sz w:val="24"/>
          <w:szCs w:val="24"/>
        </w:rPr>
      </w:pPr>
      <w:r>
        <w:rPr>
          <w:rFonts w:ascii="Times New Roman" w:hAnsi="Times New Roman" w:eastAsia="仿宋"/>
          <w:kern w:val="0"/>
          <w:sz w:val="24"/>
          <w:szCs w:val="24"/>
        </w:rPr>
        <w:t>填报单位：桃源</w:t>
      </w:r>
      <w:r>
        <w:rPr>
          <w:rFonts w:hint="eastAsia" w:ascii="Times New Roman" w:hAnsi="Times New Roman" w:eastAsia="仿宋"/>
          <w:kern w:val="0"/>
          <w:sz w:val="24"/>
          <w:szCs w:val="24"/>
        </w:rPr>
        <w:t>县退役军人事务局</w:t>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r>
        <w:rPr>
          <w:rFonts w:ascii="Times New Roman" w:hAnsi="Times New Roman" w:eastAsia="仿宋_GB2312"/>
          <w:kern w:val="0"/>
          <w:sz w:val="24"/>
          <w:szCs w:val="24"/>
        </w:rPr>
        <w:tab/>
      </w:r>
    </w:p>
    <w:tbl>
      <w:tblPr>
        <w:tblStyle w:val="13"/>
        <w:tblW w:w="0" w:type="auto"/>
        <w:jc w:val="center"/>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CellMar>
            <w:top w:w="0" w:type="dxa"/>
            <w:left w:w="108" w:type="dxa"/>
            <w:bottom w:w="0" w:type="dxa"/>
            <w:right w:w="108" w:type="dxa"/>
          </w:tblCellMar>
        </w:tblPrEx>
        <w:trPr>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hint="eastAsia" w:ascii="Times New Roman" w:hAnsi="Times New Roman" w:eastAsia="仿宋"/>
                <w:bCs/>
                <w:kern w:val="0"/>
                <w:sz w:val="24"/>
                <w:szCs w:val="24"/>
                <w:lang w:eastAsia="zh-CN"/>
              </w:rPr>
              <w:t>2020</w:t>
            </w:r>
            <w:r>
              <w:rPr>
                <w:rFonts w:ascii="Times New Roman" w:hAnsi="Times New Roman" w:eastAsia="仿宋"/>
                <w:bCs/>
                <w:kern w:val="0"/>
                <w:sz w:val="24"/>
                <w:szCs w:val="24"/>
              </w:rPr>
              <w:t>年实际</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29</w:t>
            </w: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24</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100%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rPr>
              <w:t>2018年决算数</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lang w:eastAsia="zh-CN"/>
              </w:rPr>
              <w:t>2020</w:t>
            </w:r>
            <w:r>
              <w:rPr>
                <w:rFonts w:hint="eastAsia" w:ascii="黑体" w:hAnsi="黑体" w:eastAsia="黑体" w:cs="黑体"/>
                <w:bCs/>
                <w:kern w:val="0"/>
                <w:sz w:val="24"/>
                <w:szCs w:val="24"/>
              </w:rPr>
              <w:t>年预算数</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hint="eastAsia" w:ascii="黑体" w:hAnsi="黑体" w:eastAsia="黑体" w:cs="黑体"/>
                <w:bCs/>
                <w:kern w:val="0"/>
                <w:sz w:val="24"/>
                <w:szCs w:val="24"/>
                <w:lang w:eastAsia="zh-CN"/>
              </w:rPr>
              <w:t>2020</w:t>
            </w:r>
            <w:r>
              <w:rPr>
                <w:rFonts w:hint="eastAsia" w:ascii="黑体" w:hAnsi="黑体" w:eastAsia="黑体" w:cs="黑体"/>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0</w:t>
            </w: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10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hint="eastAsia" w:ascii="Times New Roman" w:hAnsi="Times New Roman" w:eastAsia="仿宋"/>
                <w:kern w:val="0"/>
                <w:sz w:val="24"/>
                <w:szCs w:val="24"/>
                <w:lang w:val="en-US" w:eastAsia="zh-CN"/>
              </w:rPr>
              <w:t>8.76</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1.</w:t>
            </w:r>
            <w:r>
              <w:rPr>
                <w:rFonts w:ascii="Times New Roman" w:hAnsi="Times New Roman" w:eastAsia="仿宋"/>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2</w:t>
            </w:r>
            <w:r>
              <w:rPr>
                <w:rFonts w:hint="eastAsia" w:ascii="Times New Roman" w:hAnsi="Times New Roman" w:eastAsia="仿宋"/>
                <w:kern w:val="0"/>
                <w:sz w:val="24"/>
                <w:szCs w:val="24"/>
              </w:rPr>
              <w:t>.</w:t>
            </w:r>
            <w:r>
              <w:rPr>
                <w:rFonts w:ascii="Times New Roman" w:hAnsi="Times New Roman" w:eastAsia="仿宋"/>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3</w:t>
            </w:r>
            <w:r>
              <w:rPr>
                <w:rFonts w:hint="eastAsia" w:ascii="Times New Roman" w:hAnsi="Times New Roman" w:eastAsia="仿宋"/>
                <w:kern w:val="0"/>
                <w:sz w:val="24"/>
                <w:szCs w:val="24"/>
              </w:rPr>
              <w:t>.</w:t>
            </w:r>
            <w:r>
              <w:rPr>
                <w:rFonts w:ascii="Times New Roman" w:hAnsi="Times New Roman" w:eastAsia="仿宋"/>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
                <w:kern w:val="0"/>
                <w:sz w:val="24"/>
                <w:szCs w:val="24"/>
                <w:lang w:val="en-US" w:eastAsia="zh-CN"/>
              </w:rPr>
            </w:pPr>
            <w:r>
              <w:rPr>
                <w:rFonts w:ascii="Times New Roman" w:hAnsi="Times New Roman" w:eastAsia="仿宋"/>
                <w:kern w:val="0"/>
                <w:sz w:val="24"/>
                <w:szCs w:val="24"/>
              </w:rPr>
              <w:t>　</w:t>
            </w:r>
            <w:r>
              <w:rPr>
                <w:rFonts w:hint="eastAsia" w:ascii="Times New Roman" w:hAnsi="Times New Roman" w:eastAsia="仿宋"/>
                <w:kern w:val="0"/>
                <w:sz w:val="24"/>
                <w:szCs w:val="24"/>
                <w:lang w:val="en-US" w:eastAsia="zh-CN"/>
              </w:rPr>
              <w:t>10</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8.76</w:t>
            </w: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0</w:t>
            </w: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12864.85</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12864.85</w:t>
            </w: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1</w:t>
            </w:r>
            <w:r>
              <w:rPr>
                <w:rFonts w:hint="eastAsia" w:ascii="Times New Roman" w:hAnsi="Times New Roman" w:eastAsia="仿宋"/>
                <w:kern w:val="0"/>
                <w:sz w:val="24"/>
                <w:szCs w:val="24"/>
              </w:rPr>
              <w:t>.</w:t>
            </w:r>
            <w:r>
              <w:rPr>
                <w:rFonts w:ascii="Times New Roman" w:hAnsi="Times New Roman" w:eastAsia="仿宋"/>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12864.85</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12864.85</w:t>
            </w: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2</w:t>
            </w:r>
            <w:r>
              <w:rPr>
                <w:rFonts w:hint="eastAsia" w:ascii="Times New Roman" w:hAnsi="Times New Roman" w:eastAsia="仿宋"/>
                <w:kern w:val="0"/>
                <w:sz w:val="24"/>
                <w:szCs w:val="24"/>
              </w:rPr>
              <w:t>.</w:t>
            </w:r>
            <w:r>
              <w:rPr>
                <w:rFonts w:ascii="Times New Roman" w:hAnsi="Times New Roman" w:eastAsia="仿宋"/>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r>
              <w:rPr>
                <w:rFonts w:hint="eastAsia" w:ascii="Times New Roman" w:hAnsi="Times New Roman" w:eastAsia="仿宋"/>
                <w:kern w:val="0"/>
                <w:sz w:val="24"/>
                <w:szCs w:val="24"/>
              </w:rPr>
              <w:t>0</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4.58</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32.3</w:t>
            </w: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1.</w:t>
            </w:r>
            <w:r>
              <w:rPr>
                <w:rFonts w:ascii="Times New Roman" w:hAnsi="Times New Roman" w:eastAsia="仿宋"/>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r>
              <w:rPr>
                <w:rFonts w:ascii="Times New Roman" w:hAnsi="Times New Roman" w:eastAsia="仿宋"/>
                <w:color w:val="FF0000"/>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25</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25.3</w:t>
            </w: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2.</w:t>
            </w:r>
            <w:r>
              <w:rPr>
                <w:rFonts w:ascii="Times New Roman" w:hAnsi="Times New Roman" w:eastAsia="仿宋"/>
                <w:kern w:val="0"/>
                <w:sz w:val="24"/>
                <w:szCs w:val="24"/>
              </w:rPr>
              <w:t>水电费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r>
              <w:rPr>
                <w:rFonts w:ascii="Times New Roman" w:hAnsi="Times New Roman" w:eastAsia="仿宋"/>
                <w:color w:val="FF0000"/>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1.5</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1.17</w:t>
            </w: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hint="eastAsia" w:ascii="Times New Roman" w:hAnsi="Times New Roman" w:eastAsia="仿宋"/>
                <w:kern w:val="0"/>
                <w:sz w:val="24"/>
                <w:szCs w:val="24"/>
              </w:rPr>
              <w:t xml:space="preserve">    3.</w:t>
            </w:r>
            <w:r>
              <w:rPr>
                <w:rFonts w:ascii="Times New Roman" w:hAnsi="Times New Roman" w:eastAsia="仿宋"/>
                <w:kern w:val="0"/>
                <w:sz w:val="24"/>
                <w:szCs w:val="24"/>
              </w:rPr>
              <w:t>差旅费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4.61</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xml:space="preserve">    </w:t>
            </w:r>
            <w:r>
              <w:rPr>
                <w:rFonts w:hint="eastAsia" w:ascii="Times New Roman" w:hAnsi="Times New Roman" w:eastAsia="仿宋"/>
                <w:kern w:val="0"/>
                <w:sz w:val="24"/>
                <w:szCs w:val="24"/>
              </w:rPr>
              <w:t>4.</w:t>
            </w:r>
            <w:r>
              <w:rPr>
                <w:rFonts w:ascii="Times New Roman" w:hAnsi="Times New Roman" w:eastAsia="仿宋"/>
                <w:kern w:val="0"/>
                <w:sz w:val="24"/>
                <w:szCs w:val="24"/>
              </w:rPr>
              <w:t>会议费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r>
              <w:rPr>
                <w:rFonts w:ascii="Times New Roman" w:hAnsi="Times New Roman" w:eastAsia="仿宋"/>
                <w:color w:val="FF0000"/>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r>
              <w:rPr>
                <w:rFonts w:hint="eastAsia" w:ascii="Times New Roman" w:hAnsi="Times New Roman" w:eastAsia="仿宋"/>
                <w:kern w:val="0"/>
                <w:sz w:val="24"/>
                <w:szCs w:val="24"/>
              </w:rPr>
              <w:t>1.06</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hint="eastAsia" w:ascii="Times New Roman" w:hAnsi="Times New Roman" w:eastAsia="仿宋"/>
                <w:kern w:val="0"/>
                <w:sz w:val="24"/>
                <w:szCs w:val="24"/>
              </w:rPr>
              <w:t xml:space="preserve">    5.</w:t>
            </w:r>
            <w:r>
              <w:rPr>
                <w:rFonts w:ascii="Times New Roman" w:hAnsi="Times New Roman" w:eastAsia="仿宋"/>
                <w:kern w:val="0"/>
                <w:sz w:val="24"/>
                <w:szCs w:val="24"/>
              </w:rPr>
              <w:t>培训费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0.58</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0.16</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hint="eastAsia" w:ascii="Times New Roman" w:hAnsi="Times New Roman" w:eastAsia="仿宋"/>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olor w:val="FF0000"/>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1154" w:hRule="atLeast"/>
          <w:jc w:val="center"/>
        </w:trPr>
        <w:tc>
          <w:tcPr>
            <w:tcW w:w="332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b/>
                <w:bCs/>
                <w:kern w:val="0"/>
                <w:sz w:val="24"/>
                <w:szCs w:val="24"/>
              </w:rPr>
              <w:t>楼堂馆所控制情况</w:t>
            </w:r>
            <w:r>
              <w:rPr>
                <w:rFonts w:ascii="Times New Roman" w:hAnsi="Times New Roman" w:eastAsia="仿宋"/>
                <w:b/>
                <w:bCs/>
                <w:kern w:val="0"/>
                <w:sz w:val="24"/>
                <w:szCs w:val="24"/>
              </w:rPr>
              <w:br w:type="textWrapping"/>
            </w:r>
            <w:r>
              <w:rPr>
                <w:rFonts w:ascii="Times New Roman" w:hAnsi="Times New Roman" w:eastAsia="仿宋"/>
                <w:b/>
                <w:bCs/>
                <w:kern w:val="0"/>
                <w:sz w:val="24"/>
                <w:szCs w:val="24"/>
              </w:rPr>
              <w:t>（</w:t>
            </w:r>
            <w:r>
              <w:rPr>
                <w:rFonts w:hint="eastAsia" w:ascii="Times New Roman" w:hAnsi="Times New Roman" w:eastAsia="仿宋"/>
                <w:b/>
                <w:bCs/>
                <w:kern w:val="0"/>
                <w:sz w:val="24"/>
                <w:szCs w:val="24"/>
                <w:lang w:eastAsia="zh-CN"/>
              </w:rPr>
              <w:t>2020</w:t>
            </w:r>
            <w:r>
              <w:rPr>
                <w:rFonts w:ascii="Times New Roman" w:hAnsi="Times New Roman" w:eastAsia="仿宋"/>
                <w:b/>
                <w:bCs/>
                <w:kern w:val="0"/>
                <w:sz w:val="24"/>
                <w:szCs w:val="24"/>
              </w:rPr>
              <w:t>年完工项目）</w:t>
            </w: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批复</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规模</w:t>
            </w:r>
            <w:r>
              <w:rPr>
                <w:rFonts w:ascii="Times New Roman" w:hAnsi="Times New Roman" w:eastAsia="仿宋"/>
                <w:bCs/>
                <w:kern w:val="0"/>
                <w:sz w:val="24"/>
                <w:szCs w:val="24"/>
              </w:rPr>
              <w:br w:type="textWrapping"/>
            </w:r>
            <w:r>
              <w:rPr>
                <w:rFonts w:hint="eastAsia" w:ascii="Times New Roman" w:hAnsi="Times New Roman" w:eastAsia="仿宋"/>
                <w:bCs/>
                <w:kern w:val="0"/>
                <w:sz w:val="24"/>
                <w:szCs w:val="24"/>
              </w:rPr>
              <w:t>(</w:t>
            </w:r>
            <w:r>
              <w:rPr>
                <w:rFonts w:ascii="Times New Roman" w:hAnsi="Times New Roman" w:eastAsia="仿宋"/>
                <w:bCs/>
                <w:kern w:val="0"/>
                <w:sz w:val="24"/>
                <w:szCs w:val="24"/>
              </w:rPr>
              <w:t>㎡</w:t>
            </w:r>
            <w:r>
              <w:rPr>
                <w:rFonts w:hint="eastAsia" w:ascii="Times New Roman" w:hAnsi="Times New Roman" w:eastAsia="仿宋"/>
                <w:bCs/>
                <w:kern w:val="0"/>
                <w:sz w:val="24"/>
                <w:szCs w:val="24"/>
              </w:rPr>
              <w:t>)</w:t>
            </w:r>
          </w:p>
        </w:tc>
        <w:tc>
          <w:tcPr>
            <w:tcW w:w="7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实际规模</w:t>
            </w:r>
            <w:r>
              <w:rPr>
                <w:rFonts w:hint="eastAsia" w:ascii="Times New Roman" w:hAnsi="Times New Roman" w:eastAsia="仿宋"/>
                <w:bCs/>
                <w:kern w:val="0"/>
                <w:sz w:val="24"/>
                <w:szCs w:val="24"/>
              </w:rPr>
              <w:t>(</w:t>
            </w:r>
            <w:r>
              <w:rPr>
                <w:rFonts w:ascii="Times New Roman" w:hAnsi="Times New Roman" w:eastAsia="仿宋"/>
                <w:bCs/>
                <w:kern w:val="0"/>
                <w:sz w:val="24"/>
                <w:szCs w:val="24"/>
              </w:rPr>
              <w:t>㎡</w:t>
            </w:r>
            <w:r>
              <w:rPr>
                <w:rFonts w:hint="eastAsia" w:ascii="Times New Roman" w:hAnsi="Times New Roman" w:eastAsia="仿宋"/>
                <w:bCs/>
                <w:kern w:val="0"/>
                <w:sz w:val="24"/>
                <w:szCs w:val="24"/>
              </w:rPr>
              <w:t>)</w:t>
            </w:r>
          </w:p>
        </w:tc>
        <w:tc>
          <w:tcPr>
            <w:tcW w:w="9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规模</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控制率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预算</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投资</w:t>
            </w:r>
          </w:p>
          <w:p>
            <w:pPr>
              <w:widowControl/>
              <w:jc w:val="center"/>
              <w:rPr>
                <w:rFonts w:ascii="Times New Roman" w:hAnsi="Times New Roman" w:eastAsia="仿宋"/>
                <w:bCs/>
                <w:kern w:val="0"/>
                <w:sz w:val="24"/>
                <w:szCs w:val="24"/>
              </w:rPr>
            </w:pPr>
            <w:r>
              <w:rPr>
                <w:rFonts w:hint="eastAsia" w:ascii="Times New Roman" w:hAnsi="Times New Roman" w:eastAsia="仿宋"/>
                <w:bCs/>
                <w:kern w:val="0"/>
                <w:sz w:val="24"/>
                <w:szCs w:val="24"/>
              </w:rPr>
              <w:t>(</w:t>
            </w:r>
            <w:r>
              <w:rPr>
                <w:rFonts w:ascii="Times New Roman" w:hAnsi="Times New Roman" w:eastAsia="仿宋"/>
                <w:bCs/>
                <w:kern w:val="0"/>
                <w:sz w:val="24"/>
                <w:szCs w:val="24"/>
              </w:rPr>
              <w:t>万元</w:t>
            </w:r>
            <w:r>
              <w:rPr>
                <w:rFonts w:hint="eastAsia" w:ascii="Times New Roman" w:hAnsi="Times New Roman" w:eastAsia="仿宋"/>
                <w:bCs/>
                <w:kern w:val="0"/>
                <w:sz w:val="24"/>
                <w:szCs w:val="24"/>
              </w:rPr>
              <w:t>)</w:t>
            </w:r>
          </w:p>
        </w:tc>
        <w:tc>
          <w:tcPr>
            <w:tcW w:w="100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实际</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投资</w:t>
            </w:r>
          </w:p>
          <w:p>
            <w:pPr>
              <w:widowControl/>
              <w:jc w:val="center"/>
              <w:rPr>
                <w:rFonts w:ascii="Times New Roman" w:hAnsi="Times New Roman" w:eastAsia="仿宋"/>
                <w:bCs/>
                <w:kern w:val="0"/>
                <w:sz w:val="24"/>
                <w:szCs w:val="24"/>
              </w:rPr>
            </w:pPr>
            <w:r>
              <w:rPr>
                <w:rFonts w:hint="eastAsia" w:ascii="Times New Roman" w:hAnsi="Times New Roman" w:eastAsia="仿宋"/>
                <w:bCs/>
                <w:kern w:val="0"/>
                <w:sz w:val="24"/>
                <w:szCs w:val="24"/>
              </w:rPr>
              <w:t>(</w:t>
            </w:r>
            <w:r>
              <w:rPr>
                <w:rFonts w:ascii="Times New Roman" w:hAnsi="Times New Roman" w:eastAsia="仿宋"/>
                <w:bCs/>
                <w:kern w:val="0"/>
                <w:sz w:val="24"/>
                <w:szCs w:val="24"/>
              </w:rPr>
              <w:t>万元</w:t>
            </w:r>
            <w:r>
              <w:rPr>
                <w:rFonts w:hint="eastAsia" w:ascii="Times New Roman" w:hAnsi="Times New Roman" w:eastAsia="仿宋"/>
                <w:bCs/>
                <w:kern w:val="0"/>
                <w:sz w:val="24"/>
                <w:szCs w:val="24"/>
              </w:rPr>
              <w:t>)</w:t>
            </w:r>
          </w:p>
        </w:tc>
        <w:tc>
          <w:tcPr>
            <w:tcW w:w="9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投资</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概算</w:t>
            </w:r>
          </w:p>
          <w:p>
            <w:pPr>
              <w:widowControl/>
              <w:jc w:val="center"/>
              <w:rPr>
                <w:rFonts w:ascii="Times New Roman" w:hAnsi="Times New Roman" w:eastAsia="仿宋"/>
                <w:bCs/>
                <w:kern w:val="0"/>
                <w:sz w:val="24"/>
                <w:szCs w:val="24"/>
              </w:rPr>
            </w:pPr>
            <w:r>
              <w:rPr>
                <w:rFonts w:ascii="Times New Roman" w:hAnsi="Times New Roman" w:eastAsia="仿宋"/>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kern w:val="0"/>
                <w:sz w:val="24"/>
                <w:szCs w:val="24"/>
              </w:rPr>
            </w:pP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c>
          <w:tcPr>
            <w:tcW w:w="7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c>
          <w:tcPr>
            <w:tcW w:w="934"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c>
          <w:tcPr>
            <w:tcW w:w="10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c>
          <w:tcPr>
            <w:tcW w:w="1009"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c>
          <w:tcPr>
            <w:tcW w:w="948" w:type="dxa"/>
            <w:tcBorders>
              <w:top w:val="nil"/>
              <w:left w:val="nil"/>
              <w:bottom w:val="single" w:color="auto" w:sz="4" w:space="0"/>
              <w:right w:val="single" w:color="auto" w:sz="4" w:space="0"/>
            </w:tcBorders>
            <w:vAlign w:val="center"/>
          </w:tcPr>
          <w:p>
            <w:pPr>
              <w:widowControl/>
              <w:jc w:val="left"/>
              <w:rPr>
                <w:rFonts w:ascii="Times New Roman" w:hAnsi="Times New Roman" w:eastAsia="仿宋"/>
                <w:kern w:val="0"/>
                <w:sz w:val="24"/>
                <w:szCs w:val="24"/>
              </w:rPr>
            </w:pPr>
            <w:r>
              <w:rPr>
                <w:rFonts w:ascii="Times New Roman" w:hAnsi="Times New Roman" w:eastAsia="仿宋"/>
                <w:kern w:val="0"/>
                <w:sz w:val="24"/>
                <w:szCs w:val="24"/>
              </w:rPr>
              <w:t>　</w:t>
            </w:r>
          </w:p>
        </w:tc>
      </w:tr>
      <w:tr>
        <w:tblPrEx>
          <w:tblCellMar>
            <w:top w:w="0" w:type="dxa"/>
            <w:left w:w="108" w:type="dxa"/>
            <w:bottom w:w="0" w:type="dxa"/>
            <w:right w:w="108" w:type="dxa"/>
          </w:tblCellMar>
        </w:tblPrEx>
        <w:trPr>
          <w:trHeight w:val="979"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kern w:val="0"/>
                <w:sz w:val="24"/>
                <w:szCs w:val="24"/>
              </w:rPr>
            </w:pPr>
            <w:r>
              <w:rPr>
                <w:rFonts w:ascii="Times New Roman" w:hAnsi="Times New Roman" w:eastAsia="仿宋"/>
                <w:kern w:val="0"/>
                <w:sz w:val="24"/>
                <w:szCs w:val="24"/>
              </w:rPr>
              <w:t>　</w:t>
            </w:r>
          </w:p>
        </w:tc>
      </w:tr>
    </w:tbl>
    <w:p>
      <w:pPr>
        <w:widowControl/>
        <w:jc w:val="left"/>
        <w:rPr>
          <w:rFonts w:ascii="Times New Roman" w:hAnsi="Times New Roman" w:eastAsia="仿宋"/>
          <w:kern w:val="0"/>
          <w:sz w:val="24"/>
          <w:szCs w:val="24"/>
        </w:rPr>
      </w:pPr>
    </w:p>
    <w:p>
      <w:pPr>
        <w:widowControl/>
        <w:ind w:firstLine="480" w:firstLineChars="200"/>
        <w:jc w:val="left"/>
        <w:rPr>
          <w:rFonts w:ascii="Times New Roman" w:hAnsi="Times New Roman" w:eastAsia="仿宋"/>
          <w:kern w:val="0"/>
          <w:sz w:val="24"/>
          <w:szCs w:val="24"/>
        </w:rPr>
      </w:pPr>
      <w:r>
        <w:rPr>
          <w:rFonts w:ascii="Times New Roman" w:hAnsi="Times New Roman" w:eastAsia="仿宋"/>
          <w:kern w:val="0"/>
          <w:sz w:val="24"/>
          <w:szCs w:val="24"/>
        </w:rPr>
        <w:t>说明：“项目支出”需要填报所有项目情况，包括业务工作项目、运行维护项目等；“公用经费”填报基本支出中的一般商品和服务支出。</w:t>
      </w:r>
    </w:p>
    <w:p>
      <w:pPr>
        <w:widowControl/>
        <w:spacing w:line="600" w:lineRule="exact"/>
        <w:jc w:val="left"/>
        <w:rPr>
          <w:rFonts w:ascii="Times New Roman" w:hAnsi="Times New Roman" w:eastAsia="仿宋"/>
          <w:color w:val="000000"/>
          <w:sz w:val="24"/>
          <w:szCs w:val="24"/>
        </w:rPr>
      </w:pPr>
    </w:p>
    <w:p>
      <w:pPr>
        <w:widowControl/>
        <w:spacing w:line="560" w:lineRule="exact"/>
        <w:ind w:firstLine="640"/>
        <w:rPr>
          <w:rFonts w:ascii="Times New Roman" w:hAnsi="Times New Roman" w:eastAsia="黑体"/>
          <w:color w:val="000000"/>
          <w:sz w:val="32"/>
          <w:szCs w:val="32"/>
        </w:rPr>
      </w:pPr>
    </w:p>
    <w:sectPr>
      <w:footerReference r:id="rId3" w:type="default"/>
      <w:pgSz w:w="11906" w:h="16838"/>
      <w:pgMar w:top="2098" w:right="1418"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974AB"/>
    <w:rsid w:val="00001D38"/>
    <w:rsid w:val="0000298E"/>
    <w:rsid w:val="00002AE4"/>
    <w:rsid w:val="000200DB"/>
    <w:rsid w:val="00031747"/>
    <w:rsid w:val="0003456A"/>
    <w:rsid w:val="00037035"/>
    <w:rsid w:val="00037161"/>
    <w:rsid w:val="00040EBA"/>
    <w:rsid w:val="0004235A"/>
    <w:rsid w:val="0004338B"/>
    <w:rsid w:val="000469BA"/>
    <w:rsid w:val="000516DC"/>
    <w:rsid w:val="00053CFF"/>
    <w:rsid w:val="00053F71"/>
    <w:rsid w:val="000552F3"/>
    <w:rsid w:val="00070B5F"/>
    <w:rsid w:val="000747B8"/>
    <w:rsid w:val="00075715"/>
    <w:rsid w:val="00083406"/>
    <w:rsid w:val="0008579C"/>
    <w:rsid w:val="00085A99"/>
    <w:rsid w:val="00087EA5"/>
    <w:rsid w:val="00091B80"/>
    <w:rsid w:val="00092609"/>
    <w:rsid w:val="00095456"/>
    <w:rsid w:val="000A27DF"/>
    <w:rsid w:val="000A6E3A"/>
    <w:rsid w:val="000B1FC2"/>
    <w:rsid w:val="000D6179"/>
    <w:rsid w:val="000E240C"/>
    <w:rsid w:val="000F21D6"/>
    <w:rsid w:val="000F61BE"/>
    <w:rsid w:val="000F73AE"/>
    <w:rsid w:val="00102393"/>
    <w:rsid w:val="00104EB7"/>
    <w:rsid w:val="001062E8"/>
    <w:rsid w:val="00112EB7"/>
    <w:rsid w:val="00114AFB"/>
    <w:rsid w:val="001167EB"/>
    <w:rsid w:val="00121B82"/>
    <w:rsid w:val="001220BD"/>
    <w:rsid w:val="00122D73"/>
    <w:rsid w:val="0013478D"/>
    <w:rsid w:val="001415B7"/>
    <w:rsid w:val="00145A6A"/>
    <w:rsid w:val="0014663A"/>
    <w:rsid w:val="0015109C"/>
    <w:rsid w:val="001536DE"/>
    <w:rsid w:val="00156DB9"/>
    <w:rsid w:val="00160267"/>
    <w:rsid w:val="0016425E"/>
    <w:rsid w:val="00167BE7"/>
    <w:rsid w:val="00175DF2"/>
    <w:rsid w:val="00177949"/>
    <w:rsid w:val="00180DA0"/>
    <w:rsid w:val="00181657"/>
    <w:rsid w:val="00182289"/>
    <w:rsid w:val="00190E24"/>
    <w:rsid w:val="00191FD7"/>
    <w:rsid w:val="0019209D"/>
    <w:rsid w:val="00197BA7"/>
    <w:rsid w:val="001A5697"/>
    <w:rsid w:val="001A5ADC"/>
    <w:rsid w:val="001A64A0"/>
    <w:rsid w:val="001A72B0"/>
    <w:rsid w:val="001B465B"/>
    <w:rsid w:val="001B64C3"/>
    <w:rsid w:val="001C15DF"/>
    <w:rsid w:val="001C628A"/>
    <w:rsid w:val="001C7486"/>
    <w:rsid w:val="001D65E5"/>
    <w:rsid w:val="001D6602"/>
    <w:rsid w:val="001E4F39"/>
    <w:rsid w:val="001E5B80"/>
    <w:rsid w:val="001E6BFE"/>
    <w:rsid w:val="001F0F3D"/>
    <w:rsid w:val="001F6D73"/>
    <w:rsid w:val="00205440"/>
    <w:rsid w:val="00206D8D"/>
    <w:rsid w:val="002102DB"/>
    <w:rsid w:val="00211239"/>
    <w:rsid w:val="0021133C"/>
    <w:rsid w:val="0021203A"/>
    <w:rsid w:val="002129C1"/>
    <w:rsid w:val="00214D7C"/>
    <w:rsid w:val="00220C9F"/>
    <w:rsid w:val="00221B76"/>
    <w:rsid w:val="00222E30"/>
    <w:rsid w:val="00225256"/>
    <w:rsid w:val="002305A2"/>
    <w:rsid w:val="00231C6E"/>
    <w:rsid w:val="00232F9D"/>
    <w:rsid w:val="00234ACB"/>
    <w:rsid w:val="0023666C"/>
    <w:rsid w:val="00254482"/>
    <w:rsid w:val="00261A82"/>
    <w:rsid w:val="0026227A"/>
    <w:rsid w:val="0026230D"/>
    <w:rsid w:val="00273F87"/>
    <w:rsid w:val="00274C3E"/>
    <w:rsid w:val="00286A75"/>
    <w:rsid w:val="00291511"/>
    <w:rsid w:val="00292E06"/>
    <w:rsid w:val="002938A3"/>
    <w:rsid w:val="002A1611"/>
    <w:rsid w:val="002A336C"/>
    <w:rsid w:val="002A3ED2"/>
    <w:rsid w:val="002A4788"/>
    <w:rsid w:val="002B1E16"/>
    <w:rsid w:val="002B1FB2"/>
    <w:rsid w:val="002B2BEF"/>
    <w:rsid w:val="002B778F"/>
    <w:rsid w:val="002C064D"/>
    <w:rsid w:val="002D6D4A"/>
    <w:rsid w:val="002E1DF4"/>
    <w:rsid w:val="002E3671"/>
    <w:rsid w:val="002E4587"/>
    <w:rsid w:val="002F1DAF"/>
    <w:rsid w:val="002F2F86"/>
    <w:rsid w:val="002F7643"/>
    <w:rsid w:val="00303890"/>
    <w:rsid w:val="003053A5"/>
    <w:rsid w:val="0031038E"/>
    <w:rsid w:val="003134F7"/>
    <w:rsid w:val="00313CA6"/>
    <w:rsid w:val="00317825"/>
    <w:rsid w:val="00317AB2"/>
    <w:rsid w:val="00322823"/>
    <w:rsid w:val="00324952"/>
    <w:rsid w:val="00331547"/>
    <w:rsid w:val="00341012"/>
    <w:rsid w:val="00342BE8"/>
    <w:rsid w:val="00344BD5"/>
    <w:rsid w:val="00344CA7"/>
    <w:rsid w:val="00345B18"/>
    <w:rsid w:val="00346169"/>
    <w:rsid w:val="003478B2"/>
    <w:rsid w:val="0035015A"/>
    <w:rsid w:val="00351E0E"/>
    <w:rsid w:val="0035557A"/>
    <w:rsid w:val="00362473"/>
    <w:rsid w:val="00362E31"/>
    <w:rsid w:val="00372621"/>
    <w:rsid w:val="00374987"/>
    <w:rsid w:val="0038212B"/>
    <w:rsid w:val="00382A10"/>
    <w:rsid w:val="00383377"/>
    <w:rsid w:val="00383992"/>
    <w:rsid w:val="00392B58"/>
    <w:rsid w:val="00394ABB"/>
    <w:rsid w:val="003A4ACA"/>
    <w:rsid w:val="003A7FDD"/>
    <w:rsid w:val="003B23EB"/>
    <w:rsid w:val="003B2F4F"/>
    <w:rsid w:val="003B6790"/>
    <w:rsid w:val="003B7267"/>
    <w:rsid w:val="003B7FA2"/>
    <w:rsid w:val="003D32C8"/>
    <w:rsid w:val="003D4854"/>
    <w:rsid w:val="003E3CB2"/>
    <w:rsid w:val="003E52E4"/>
    <w:rsid w:val="00404BE5"/>
    <w:rsid w:val="00410AE1"/>
    <w:rsid w:val="00410FF6"/>
    <w:rsid w:val="00411330"/>
    <w:rsid w:val="00411E31"/>
    <w:rsid w:val="00412456"/>
    <w:rsid w:val="00415605"/>
    <w:rsid w:val="0041778A"/>
    <w:rsid w:val="00417BC1"/>
    <w:rsid w:val="0042330A"/>
    <w:rsid w:val="00427D9D"/>
    <w:rsid w:val="00431F52"/>
    <w:rsid w:val="00434B10"/>
    <w:rsid w:val="00446CFB"/>
    <w:rsid w:val="004506ED"/>
    <w:rsid w:val="004531EE"/>
    <w:rsid w:val="004543E4"/>
    <w:rsid w:val="004561C6"/>
    <w:rsid w:val="004621CC"/>
    <w:rsid w:val="00473D54"/>
    <w:rsid w:val="00477B78"/>
    <w:rsid w:val="00481926"/>
    <w:rsid w:val="00483F92"/>
    <w:rsid w:val="004948B2"/>
    <w:rsid w:val="00496F6D"/>
    <w:rsid w:val="004A0757"/>
    <w:rsid w:val="004A27D2"/>
    <w:rsid w:val="004A3060"/>
    <w:rsid w:val="004B09F8"/>
    <w:rsid w:val="004C2AEE"/>
    <w:rsid w:val="004D5F90"/>
    <w:rsid w:val="004E1AF5"/>
    <w:rsid w:val="004E2593"/>
    <w:rsid w:val="004E31EC"/>
    <w:rsid w:val="004E394D"/>
    <w:rsid w:val="004E6E44"/>
    <w:rsid w:val="004F53C1"/>
    <w:rsid w:val="00505F55"/>
    <w:rsid w:val="005064CA"/>
    <w:rsid w:val="00507BC7"/>
    <w:rsid w:val="00510B86"/>
    <w:rsid w:val="005118BF"/>
    <w:rsid w:val="005341B6"/>
    <w:rsid w:val="00536A21"/>
    <w:rsid w:val="005377C3"/>
    <w:rsid w:val="005438D0"/>
    <w:rsid w:val="0054486C"/>
    <w:rsid w:val="005458BD"/>
    <w:rsid w:val="0055022D"/>
    <w:rsid w:val="00550C9A"/>
    <w:rsid w:val="00553BA4"/>
    <w:rsid w:val="0057789D"/>
    <w:rsid w:val="00585BED"/>
    <w:rsid w:val="0058649C"/>
    <w:rsid w:val="005916AB"/>
    <w:rsid w:val="00592496"/>
    <w:rsid w:val="00593595"/>
    <w:rsid w:val="005A13B0"/>
    <w:rsid w:val="005A3424"/>
    <w:rsid w:val="005A38BC"/>
    <w:rsid w:val="005A4650"/>
    <w:rsid w:val="005A662C"/>
    <w:rsid w:val="005A6E3C"/>
    <w:rsid w:val="005B70C2"/>
    <w:rsid w:val="005C03C6"/>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05EDE"/>
    <w:rsid w:val="0061181B"/>
    <w:rsid w:val="0061405C"/>
    <w:rsid w:val="0061768E"/>
    <w:rsid w:val="00620930"/>
    <w:rsid w:val="006304D8"/>
    <w:rsid w:val="00640E29"/>
    <w:rsid w:val="006412C9"/>
    <w:rsid w:val="006557C1"/>
    <w:rsid w:val="00655F15"/>
    <w:rsid w:val="0066304C"/>
    <w:rsid w:val="00664139"/>
    <w:rsid w:val="00666EBB"/>
    <w:rsid w:val="00671561"/>
    <w:rsid w:val="00672718"/>
    <w:rsid w:val="006769A7"/>
    <w:rsid w:val="00676BCC"/>
    <w:rsid w:val="0067774C"/>
    <w:rsid w:val="00682EDF"/>
    <w:rsid w:val="006858E7"/>
    <w:rsid w:val="00686123"/>
    <w:rsid w:val="006865DD"/>
    <w:rsid w:val="00687554"/>
    <w:rsid w:val="00693448"/>
    <w:rsid w:val="00695008"/>
    <w:rsid w:val="006A373C"/>
    <w:rsid w:val="006A3A89"/>
    <w:rsid w:val="006A6FDC"/>
    <w:rsid w:val="006C3E4B"/>
    <w:rsid w:val="006C5D54"/>
    <w:rsid w:val="006D03E1"/>
    <w:rsid w:val="006D0B0B"/>
    <w:rsid w:val="006D0B89"/>
    <w:rsid w:val="006E4E54"/>
    <w:rsid w:val="006F1419"/>
    <w:rsid w:val="00700CD4"/>
    <w:rsid w:val="00701DF4"/>
    <w:rsid w:val="00704174"/>
    <w:rsid w:val="00704536"/>
    <w:rsid w:val="0071201B"/>
    <w:rsid w:val="00715335"/>
    <w:rsid w:val="007228BA"/>
    <w:rsid w:val="00723417"/>
    <w:rsid w:val="007349D4"/>
    <w:rsid w:val="00737891"/>
    <w:rsid w:val="00754120"/>
    <w:rsid w:val="00756B93"/>
    <w:rsid w:val="0076008E"/>
    <w:rsid w:val="0076124E"/>
    <w:rsid w:val="007707CC"/>
    <w:rsid w:val="00770932"/>
    <w:rsid w:val="0077217D"/>
    <w:rsid w:val="00784182"/>
    <w:rsid w:val="00786728"/>
    <w:rsid w:val="00790E49"/>
    <w:rsid w:val="00793BCC"/>
    <w:rsid w:val="007974AB"/>
    <w:rsid w:val="007A0A4C"/>
    <w:rsid w:val="007B039C"/>
    <w:rsid w:val="007B13FA"/>
    <w:rsid w:val="007B46F9"/>
    <w:rsid w:val="007B4DD3"/>
    <w:rsid w:val="007B4F12"/>
    <w:rsid w:val="007B57E2"/>
    <w:rsid w:val="007C0768"/>
    <w:rsid w:val="007C536F"/>
    <w:rsid w:val="007D16E0"/>
    <w:rsid w:val="007D1D5F"/>
    <w:rsid w:val="007D5CA1"/>
    <w:rsid w:val="007D637D"/>
    <w:rsid w:val="007E3B70"/>
    <w:rsid w:val="007F05A2"/>
    <w:rsid w:val="007F11A0"/>
    <w:rsid w:val="007F1ED1"/>
    <w:rsid w:val="007F7875"/>
    <w:rsid w:val="00800AE0"/>
    <w:rsid w:val="008260CE"/>
    <w:rsid w:val="00827E67"/>
    <w:rsid w:val="00832102"/>
    <w:rsid w:val="00833FA8"/>
    <w:rsid w:val="0084564C"/>
    <w:rsid w:val="00851F1E"/>
    <w:rsid w:val="00853201"/>
    <w:rsid w:val="00863680"/>
    <w:rsid w:val="00863977"/>
    <w:rsid w:val="008662AB"/>
    <w:rsid w:val="00867DE4"/>
    <w:rsid w:val="00883F85"/>
    <w:rsid w:val="00885497"/>
    <w:rsid w:val="008862A7"/>
    <w:rsid w:val="00894332"/>
    <w:rsid w:val="008B03AA"/>
    <w:rsid w:val="008B1FF5"/>
    <w:rsid w:val="008B33CC"/>
    <w:rsid w:val="008B3530"/>
    <w:rsid w:val="008D36D8"/>
    <w:rsid w:val="008D614F"/>
    <w:rsid w:val="008D7CE8"/>
    <w:rsid w:val="008E47C8"/>
    <w:rsid w:val="008E7DED"/>
    <w:rsid w:val="008F0E86"/>
    <w:rsid w:val="0090366D"/>
    <w:rsid w:val="00905011"/>
    <w:rsid w:val="00911DD8"/>
    <w:rsid w:val="00913F44"/>
    <w:rsid w:val="00917770"/>
    <w:rsid w:val="00921D22"/>
    <w:rsid w:val="00921EF0"/>
    <w:rsid w:val="0094137E"/>
    <w:rsid w:val="00943B87"/>
    <w:rsid w:val="009442C5"/>
    <w:rsid w:val="0094685F"/>
    <w:rsid w:val="00947B15"/>
    <w:rsid w:val="00956048"/>
    <w:rsid w:val="00961BF1"/>
    <w:rsid w:val="0096338E"/>
    <w:rsid w:val="009709F2"/>
    <w:rsid w:val="0097377E"/>
    <w:rsid w:val="0097487E"/>
    <w:rsid w:val="00977060"/>
    <w:rsid w:val="0098378E"/>
    <w:rsid w:val="00983845"/>
    <w:rsid w:val="00986F29"/>
    <w:rsid w:val="00991EA4"/>
    <w:rsid w:val="009943A8"/>
    <w:rsid w:val="009947D3"/>
    <w:rsid w:val="009965AB"/>
    <w:rsid w:val="009A55AE"/>
    <w:rsid w:val="009B5851"/>
    <w:rsid w:val="009C26B9"/>
    <w:rsid w:val="009C406D"/>
    <w:rsid w:val="009C5DDA"/>
    <w:rsid w:val="009D6DA7"/>
    <w:rsid w:val="009E02A8"/>
    <w:rsid w:val="009E265C"/>
    <w:rsid w:val="009E5A22"/>
    <w:rsid w:val="009F14BF"/>
    <w:rsid w:val="009F404C"/>
    <w:rsid w:val="009F6491"/>
    <w:rsid w:val="00A00330"/>
    <w:rsid w:val="00A031DE"/>
    <w:rsid w:val="00A14698"/>
    <w:rsid w:val="00A15119"/>
    <w:rsid w:val="00A219F9"/>
    <w:rsid w:val="00A23281"/>
    <w:rsid w:val="00A24325"/>
    <w:rsid w:val="00A31FCC"/>
    <w:rsid w:val="00A3288D"/>
    <w:rsid w:val="00A36BF2"/>
    <w:rsid w:val="00A36DBC"/>
    <w:rsid w:val="00A40728"/>
    <w:rsid w:val="00A413AD"/>
    <w:rsid w:val="00A42F44"/>
    <w:rsid w:val="00A430F4"/>
    <w:rsid w:val="00A44A41"/>
    <w:rsid w:val="00A45089"/>
    <w:rsid w:val="00A50C6C"/>
    <w:rsid w:val="00A50EDE"/>
    <w:rsid w:val="00A53396"/>
    <w:rsid w:val="00A57284"/>
    <w:rsid w:val="00A6409C"/>
    <w:rsid w:val="00A74251"/>
    <w:rsid w:val="00A747A4"/>
    <w:rsid w:val="00A76E82"/>
    <w:rsid w:val="00A92736"/>
    <w:rsid w:val="00A949AD"/>
    <w:rsid w:val="00A95DE6"/>
    <w:rsid w:val="00AB11DB"/>
    <w:rsid w:val="00AC2C79"/>
    <w:rsid w:val="00AC3596"/>
    <w:rsid w:val="00AC3D49"/>
    <w:rsid w:val="00AD0292"/>
    <w:rsid w:val="00AD09F4"/>
    <w:rsid w:val="00AD6973"/>
    <w:rsid w:val="00AD797A"/>
    <w:rsid w:val="00AE31EC"/>
    <w:rsid w:val="00AE4204"/>
    <w:rsid w:val="00AE753A"/>
    <w:rsid w:val="00AF1354"/>
    <w:rsid w:val="00AF6368"/>
    <w:rsid w:val="00B03149"/>
    <w:rsid w:val="00B04987"/>
    <w:rsid w:val="00B067B2"/>
    <w:rsid w:val="00B07A1C"/>
    <w:rsid w:val="00B12151"/>
    <w:rsid w:val="00B13B25"/>
    <w:rsid w:val="00B13F7B"/>
    <w:rsid w:val="00B1669E"/>
    <w:rsid w:val="00B20F55"/>
    <w:rsid w:val="00B21F2B"/>
    <w:rsid w:val="00B23A19"/>
    <w:rsid w:val="00B3064B"/>
    <w:rsid w:val="00B30E1F"/>
    <w:rsid w:val="00B32F56"/>
    <w:rsid w:val="00B5069E"/>
    <w:rsid w:val="00B52006"/>
    <w:rsid w:val="00B54FA2"/>
    <w:rsid w:val="00B559AE"/>
    <w:rsid w:val="00B576D4"/>
    <w:rsid w:val="00B605B4"/>
    <w:rsid w:val="00B65290"/>
    <w:rsid w:val="00B65994"/>
    <w:rsid w:val="00B65A23"/>
    <w:rsid w:val="00B718B5"/>
    <w:rsid w:val="00B757D6"/>
    <w:rsid w:val="00B7695F"/>
    <w:rsid w:val="00B80C73"/>
    <w:rsid w:val="00B810E0"/>
    <w:rsid w:val="00B824FB"/>
    <w:rsid w:val="00B8579B"/>
    <w:rsid w:val="00B85D54"/>
    <w:rsid w:val="00B86E61"/>
    <w:rsid w:val="00B90483"/>
    <w:rsid w:val="00B913E0"/>
    <w:rsid w:val="00B9269A"/>
    <w:rsid w:val="00B93DBC"/>
    <w:rsid w:val="00B9683E"/>
    <w:rsid w:val="00BA21E0"/>
    <w:rsid w:val="00BA3557"/>
    <w:rsid w:val="00BA3EC3"/>
    <w:rsid w:val="00BB02A3"/>
    <w:rsid w:val="00BB1B7F"/>
    <w:rsid w:val="00BB68BB"/>
    <w:rsid w:val="00BB7153"/>
    <w:rsid w:val="00BD1277"/>
    <w:rsid w:val="00BD600A"/>
    <w:rsid w:val="00BE2E9A"/>
    <w:rsid w:val="00BF20DB"/>
    <w:rsid w:val="00BF51A5"/>
    <w:rsid w:val="00BF73DD"/>
    <w:rsid w:val="00C0088E"/>
    <w:rsid w:val="00C02189"/>
    <w:rsid w:val="00C028A0"/>
    <w:rsid w:val="00C30FDC"/>
    <w:rsid w:val="00C319C9"/>
    <w:rsid w:val="00C33895"/>
    <w:rsid w:val="00C3680C"/>
    <w:rsid w:val="00C44C07"/>
    <w:rsid w:val="00C4612E"/>
    <w:rsid w:val="00C52569"/>
    <w:rsid w:val="00C54E49"/>
    <w:rsid w:val="00C573B5"/>
    <w:rsid w:val="00C60E03"/>
    <w:rsid w:val="00C62F43"/>
    <w:rsid w:val="00C63B42"/>
    <w:rsid w:val="00C72DCE"/>
    <w:rsid w:val="00C7459A"/>
    <w:rsid w:val="00C93127"/>
    <w:rsid w:val="00C935BF"/>
    <w:rsid w:val="00C95F18"/>
    <w:rsid w:val="00CA0A79"/>
    <w:rsid w:val="00CA163D"/>
    <w:rsid w:val="00CA33BA"/>
    <w:rsid w:val="00CB3838"/>
    <w:rsid w:val="00CB5102"/>
    <w:rsid w:val="00CB54A8"/>
    <w:rsid w:val="00CC0774"/>
    <w:rsid w:val="00CC3862"/>
    <w:rsid w:val="00CC4ADD"/>
    <w:rsid w:val="00CD2BBD"/>
    <w:rsid w:val="00CD35A0"/>
    <w:rsid w:val="00CE087F"/>
    <w:rsid w:val="00CE0DAB"/>
    <w:rsid w:val="00CF36DD"/>
    <w:rsid w:val="00CF75DD"/>
    <w:rsid w:val="00CF7E02"/>
    <w:rsid w:val="00D05ACC"/>
    <w:rsid w:val="00D12800"/>
    <w:rsid w:val="00D14DCC"/>
    <w:rsid w:val="00D204FD"/>
    <w:rsid w:val="00D20BB6"/>
    <w:rsid w:val="00D258CC"/>
    <w:rsid w:val="00D26A59"/>
    <w:rsid w:val="00D32AA5"/>
    <w:rsid w:val="00D33649"/>
    <w:rsid w:val="00D42A58"/>
    <w:rsid w:val="00D4312A"/>
    <w:rsid w:val="00D4564B"/>
    <w:rsid w:val="00D464D3"/>
    <w:rsid w:val="00D52EEC"/>
    <w:rsid w:val="00D55FCF"/>
    <w:rsid w:val="00D60B6C"/>
    <w:rsid w:val="00D62E84"/>
    <w:rsid w:val="00D65095"/>
    <w:rsid w:val="00D809C7"/>
    <w:rsid w:val="00D85DF2"/>
    <w:rsid w:val="00D903B2"/>
    <w:rsid w:val="00D90905"/>
    <w:rsid w:val="00D90B0C"/>
    <w:rsid w:val="00D9240C"/>
    <w:rsid w:val="00D927CA"/>
    <w:rsid w:val="00DA1E2C"/>
    <w:rsid w:val="00DB3D2E"/>
    <w:rsid w:val="00DB49E9"/>
    <w:rsid w:val="00DB4E0F"/>
    <w:rsid w:val="00DB79CE"/>
    <w:rsid w:val="00DD1471"/>
    <w:rsid w:val="00DD1B35"/>
    <w:rsid w:val="00DD3879"/>
    <w:rsid w:val="00DD579B"/>
    <w:rsid w:val="00DE04EC"/>
    <w:rsid w:val="00DE1D58"/>
    <w:rsid w:val="00DE53FD"/>
    <w:rsid w:val="00DF0050"/>
    <w:rsid w:val="00DF13D4"/>
    <w:rsid w:val="00DF192B"/>
    <w:rsid w:val="00DF3708"/>
    <w:rsid w:val="00DF422E"/>
    <w:rsid w:val="00E03D30"/>
    <w:rsid w:val="00E04C58"/>
    <w:rsid w:val="00E07FE4"/>
    <w:rsid w:val="00E1178C"/>
    <w:rsid w:val="00E12865"/>
    <w:rsid w:val="00E1598C"/>
    <w:rsid w:val="00E171D4"/>
    <w:rsid w:val="00E20D5A"/>
    <w:rsid w:val="00E2433A"/>
    <w:rsid w:val="00E275D0"/>
    <w:rsid w:val="00E31CBF"/>
    <w:rsid w:val="00E35604"/>
    <w:rsid w:val="00E37C21"/>
    <w:rsid w:val="00E40FD3"/>
    <w:rsid w:val="00E46D74"/>
    <w:rsid w:val="00E510E7"/>
    <w:rsid w:val="00E54080"/>
    <w:rsid w:val="00E5592F"/>
    <w:rsid w:val="00E55CDD"/>
    <w:rsid w:val="00E5799B"/>
    <w:rsid w:val="00E63F09"/>
    <w:rsid w:val="00E67C16"/>
    <w:rsid w:val="00E72030"/>
    <w:rsid w:val="00E733A6"/>
    <w:rsid w:val="00E774DF"/>
    <w:rsid w:val="00E7796F"/>
    <w:rsid w:val="00E80074"/>
    <w:rsid w:val="00E848A7"/>
    <w:rsid w:val="00E85548"/>
    <w:rsid w:val="00E94326"/>
    <w:rsid w:val="00E94979"/>
    <w:rsid w:val="00E95F9B"/>
    <w:rsid w:val="00E979FE"/>
    <w:rsid w:val="00EB0525"/>
    <w:rsid w:val="00EB0AF9"/>
    <w:rsid w:val="00EB20C3"/>
    <w:rsid w:val="00EB35BD"/>
    <w:rsid w:val="00EC133C"/>
    <w:rsid w:val="00EC2A45"/>
    <w:rsid w:val="00ED39EF"/>
    <w:rsid w:val="00ED459B"/>
    <w:rsid w:val="00ED57CB"/>
    <w:rsid w:val="00F0324A"/>
    <w:rsid w:val="00F033A8"/>
    <w:rsid w:val="00F07FD8"/>
    <w:rsid w:val="00F1532E"/>
    <w:rsid w:val="00F15C5B"/>
    <w:rsid w:val="00F204D5"/>
    <w:rsid w:val="00F25ACD"/>
    <w:rsid w:val="00F31077"/>
    <w:rsid w:val="00F34647"/>
    <w:rsid w:val="00F353A4"/>
    <w:rsid w:val="00F5082F"/>
    <w:rsid w:val="00F53D8C"/>
    <w:rsid w:val="00F5551B"/>
    <w:rsid w:val="00F62E20"/>
    <w:rsid w:val="00F631D3"/>
    <w:rsid w:val="00F64A66"/>
    <w:rsid w:val="00F67480"/>
    <w:rsid w:val="00F67A2E"/>
    <w:rsid w:val="00F7046B"/>
    <w:rsid w:val="00F71779"/>
    <w:rsid w:val="00F778E4"/>
    <w:rsid w:val="00F81E51"/>
    <w:rsid w:val="00F82518"/>
    <w:rsid w:val="00F921CA"/>
    <w:rsid w:val="00FA4A92"/>
    <w:rsid w:val="00FA5A76"/>
    <w:rsid w:val="00FB0000"/>
    <w:rsid w:val="00FC3D3C"/>
    <w:rsid w:val="00FD03F6"/>
    <w:rsid w:val="00FD1260"/>
    <w:rsid w:val="00FD4154"/>
    <w:rsid w:val="00FD47E3"/>
    <w:rsid w:val="00FE15F4"/>
    <w:rsid w:val="00FE4F3C"/>
    <w:rsid w:val="00FF2FCA"/>
    <w:rsid w:val="00FF35B6"/>
    <w:rsid w:val="00FF5CAC"/>
    <w:rsid w:val="0D174F5B"/>
    <w:rsid w:val="1730407B"/>
    <w:rsid w:val="1E850F8A"/>
    <w:rsid w:val="28ED4DF4"/>
    <w:rsid w:val="2B721B98"/>
    <w:rsid w:val="339870D4"/>
    <w:rsid w:val="58691E13"/>
    <w:rsid w:val="5E4F067D"/>
    <w:rsid w:val="5F9E0D70"/>
    <w:rsid w:val="7582475F"/>
    <w:rsid w:val="7E737B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0" w:semiHidden="0" w:name="Plain Text"/>
    <w:lsdException w:uiPriority="99" w:name="E-mail Signature"/>
    <w:lsdException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1"/>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2"/>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3"/>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4"/>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5"/>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6"/>
    <w:semiHidden/>
    <w:qFormat/>
    <w:uiPriority w:val="99"/>
    <w:pPr>
      <w:widowControl/>
      <w:jc w:val="left"/>
    </w:pPr>
    <w:rPr>
      <w:rFonts w:ascii="宋体" w:hAnsi="宋体" w:cs="宋体"/>
      <w:kern w:val="0"/>
      <w:sz w:val="24"/>
      <w:szCs w:val="24"/>
    </w:rPr>
  </w:style>
  <w:style w:type="paragraph" w:styleId="9">
    <w:name w:val="Plain Text"/>
    <w:basedOn w:val="1"/>
    <w:link w:val="128"/>
    <w:unhideWhenUsed/>
    <w:uiPriority w:val="0"/>
    <w:rPr>
      <w:rFonts w:ascii="宋体" w:hAnsi="Courier New" w:cs="Courier New"/>
      <w:szCs w:val="21"/>
    </w:rPr>
  </w:style>
  <w:style w:type="paragraph" w:styleId="10">
    <w:name w:val="footer"/>
    <w:basedOn w:val="1"/>
    <w:link w:val="125"/>
    <w:uiPriority w:val="99"/>
    <w:pPr>
      <w:tabs>
        <w:tab w:val="center" w:pos="4153"/>
        <w:tab w:val="right" w:pos="8306"/>
      </w:tabs>
      <w:snapToGrid w:val="0"/>
      <w:jc w:val="left"/>
    </w:pPr>
    <w:rPr>
      <w:sz w:val="18"/>
      <w:szCs w:val="18"/>
    </w:rPr>
  </w:style>
  <w:style w:type="paragraph" w:styleId="11">
    <w:name w:val="header"/>
    <w:basedOn w:val="1"/>
    <w:link w:val="124"/>
    <w:semiHidden/>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FollowedHyperlink"/>
    <w:basedOn w:val="14"/>
    <w:semiHidden/>
    <w:qFormat/>
    <w:uiPriority w:val="99"/>
    <w:rPr>
      <w:rFonts w:cs="Times New Roman"/>
      <w:color w:val="252525"/>
      <w:u w:val="none"/>
    </w:rPr>
  </w:style>
  <w:style w:type="character" w:styleId="16">
    <w:name w:val="Emphasis"/>
    <w:basedOn w:val="14"/>
    <w:qFormat/>
    <w:uiPriority w:val="99"/>
    <w:rPr>
      <w:rFonts w:cs="Times New Roman"/>
    </w:rPr>
  </w:style>
  <w:style w:type="character" w:styleId="17">
    <w:name w:val="Hyperlink"/>
    <w:basedOn w:val="14"/>
    <w:semiHidden/>
    <w:qFormat/>
    <w:uiPriority w:val="99"/>
    <w:rPr>
      <w:rFonts w:cs="Times New Roman"/>
      <w:color w:val="252525"/>
      <w:u w:val="none"/>
    </w:rPr>
  </w:style>
  <w:style w:type="character" w:styleId="18">
    <w:name w:val="HTML Code"/>
    <w:basedOn w:val="14"/>
    <w:semiHidden/>
    <w:qFormat/>
    <w:uiPriority w:val="99"/>
    <w:rPr>
      <w:rFonts w:ascii="宋体" w:hAnsi="宋体" w:eastAsia="宋体" w:cs="宋体"/>
      <w:sz w:val="24"/>
      <w:szCs w:val="24"/>
    </w:rPr>
  </w:style>
  <w:style w:type="character" w:styleId="19">
    <w:name w:val="HTML Cite"/>
    <w:basedOn w:val="14"/>
    <w:semiHidden/>
    <w:qFormat/>
    <w:uiPriority w:val="99"/>
    <w:rPr>
      <w:rFonts w:cs="Times New Roman"/>
    </w:rPr>
  </w:style>
  <w:style w:type="character" w:customStyle="1" w:styleId="20">
    <w:name w:val="标题 1 Char"/>
    <w:basedOn w:val="14"/>
    <w:link w:val="2"/>
    <w:qFormat/>
    <w:locked/>
    <w:uiPriority w:val="99"/>
    <w:rPr>
      <w:rFonts w:ascii="宋体" w:hAnsi="宋体" w:eastAsia="宋体" w:cs="宋体"/>
      <w:kern w:val="36"/>
      <w:sz w:val="48"/>
      <w:szCs w:val="48"/>
    </w:rPr>
  </w:style>
  <w:style w:type="character" w:customStyle="1" w:styleId="21">
    <w:name w:val="标题 2 Char"/>
    <w:basedOn w:val="14"/>
    <w:link w:val="3"/>
    <w:qFormat/>
    <w:locked/>
    <w:uiPriority w:val="99"/>
    <w:rPr>
      <w:rFonts w:ascii="宋体" w:hAnsi="宋体" w:eastAsia="宋体" w:cs="宋体"/>
      <w:kern w:val="0"/>
      <w:sz w:val="36"/>
      <w:szCs w:val="36"/>
    </w:rPr>
  </w:style>
  <w:style w:type="character" w:customStyle="1" w:styleId="22">
    <w:name w:val="标题 3 Char"/>
    <w:basedOn w:val="14"/>
    <w:link w:val="4"/>
    <w:qFormat/>
    <w:locked/>
    <w:uiPriority w:val="99"/>
    <w:rPr>
      <w:rFonts w:ascii="宋体" w:hAnsi="宋体" w:eastAsia="宋体" w:cs="宋体"/>
      <w:kern w:val="0"/>
      <w:sz w:val="27"/>
      <w:szCs w:val="27"/>
    </w:rPr>
  </w:style>
  <w:style w:type="character" w:customStyle="1" w:styleId="23">
    <w:name w:val="标题 4 Char"/>
    <w:basedOn w:val="14"/>
    <w:link w:val="5"/>
    <w:qFormat/>
    <w:locked/>
    <w:uiPriority w:val="99"/>
    <w:rPr>
      <w:rFonts w:ascii="宋体" w:hAnsi="宋体" w:eastAsia="宋体" w:cs="宋体"/>
      <w:kern w:val="0"/>
      <w:sz w:val="24"/>
      <w:szCs w:val="24"/>
    </w:rPr>
  </w:style>
  <w:style w:type="character" w:customStyle="1" w:styleId="24">
    <w:name w:val="标题 5 Char"/>
    <w:basedOn w:val="14"/>
    <w:link w:val="6"/>
    <w:qFormat/>
    <w:locked/>
    <w:uiPriority w:val="99"/>
    <w:rPr>
      <w:rFonts w:ascii="宋体" w:hAnsi="宋体" w:eastAsia="宋体" w:cs="宋体"/>
      <w:kern w:val="0"/>
      <w:sz w:val="20"/>
      <w:szCs w:val="20"/>
    </w:rPr>
  </w:style>
  <w:style w:type="character" w:customStyle="1" w:styleId="25">
    <w:name w:val="标题 6 Char"/>
    <w:basedOn w:val="14"/>
    <w:link w:val="7"/>
    <w:qFormat/>
    <w:locked/>
    <w:uiPriority w:val="99"/>
    <w:rPr>
      <w:rFonts w:ascii="宋体" w:hAnsi="宋体" w:eastAsia="宋体" w:cs="宋体"/>
      <w:kern w:val="0"/>
      <w:sz w:val="15"/>
      <w:szCs w:val="15"/>
    </w:rPr>
  </w:style>
  <w:style w:type="character" w:customStyle="1" w:styleId="26">
    <w:name w:val="HTML 地址 Char"/>
    <w:basedOn w:val="14"/>
    <w:link w:val="8"/>
    <w:semiHidden/>
    <w:qFormat/>
    <w:locked/>
    <w:uiPriority w:val="99"/>
    <w:rPr>
      <w:rFonts w:ascii="宋体" w:hAnsi="宋体" w:eastAsia="宋体" w:cs="宋体"/>
      <w:kern w:val="0"/>
      <w:sz w:val="24"/>
      <w:szCs w:val="24"/>
    </w:rPr>
  </w:style>
  <w:style w:type="paragraph" w:customStyle="1" w:styleId="27">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8">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9">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0">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1">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2">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3">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6">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8">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2">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3">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6">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7">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8">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0">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1">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3">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4">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5">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3">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4">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5">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6">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2">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3">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4">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5">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6">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7">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8">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9">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0">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2">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3">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日期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3">
    <w:name w:val="hj-easyread-speakerprocesser-position-action-icon"/>
    <w:basedOn w:val="14"/>
    <w:qFormat/>
    <w:uiPriority w:val="99"/>
    <w:rPr>
      <w:rFonts w:cs="Times New Roman"/>
    </w:rPr>
  </w:style>
  <w:style w:type="paragraph" w:customStyle="1" w:styleId="104">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search1"/>
    <w:basedOn w:val="1"/>
    <w:qFormat/>
    <w:uiPriority w:val="99"/>
    <w:pPr>
      <w:widowControl/>
      <w:spacing w:line="660" w:lineRule="atLeast"/>
      <w:jc w:val="left"/>
    </w:pPr>
    <w:rPr>
      <w:rFonts w:ascii="宋体" w:hAnsi="宋体" w:cs="宋体"/>
      <w:kern w:val="0"/>
      <w:sz w:val="24"/>
      <w:szCs w:val="24"/>
    </w:rPr>
  </w:style>
  <w:style w:type="paragraph" w:customStyle="1" w:styleId="107">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1">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4">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5">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w9801"/>
    <w:basedOn w:val="1"/>
    <w:qFormat/>
    <w:uiPriority w:val="99"/>
    <w:pPr>
      <w:widowControl/>
      <w:jc w:val="left"/>
    </w:pPr>
    <w:rPr>
      <w:rFonts w:ascii="宋体" w:hAnsi="宋体" w:cs="宋体"/>
      <w:kern w:val="0"/>
      <w:sz w:val="24"/>
      <w:szCs w:val="24"/>
    </w:rPr>
  </w:style>
  <w:style w:type="paragraph" w:customStyle="1" w:styleId="118">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9">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0">
    <w:name w:val="hj-easyread-speakerprocesser-position-action-icon1"/>
    <w:basedOn w:val="14"/>
    <w:uiPriority w:val="99"/>
    <w:rPr>
      <w:rFonts w:cs="Times New Roman"/>
      <w:shd w:val="clear" w:color="auto" w:fill="auto"/>
    </w:rPr>
  </w:style>
  <w:style w:type="paragraph" w:customStyle="1" w:styleId="121">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2">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3">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4">
    <w:name w:val="页眉 Char"/>
    <w:basedOn w:val="14"/>
    <w:link w:val="11"/>
    <w:semiHidden/>
    <w:qFormat/>
    <w:locked/>
    <w:uiPriority w:val="99"/>
    <w:rPr>
      <w:rFonts w:cs="Times New Roman"/>
      <w:sz w:val="18"/>
      <w:szCs w:val="18"/>
    </w:rPr>
  </w:style>
  <w:style w:type="character" w:customStyle="1" w:styleId="125">
    <w:name w:val="页脚 Char"/>
    <w:basedOn w:val="14"/>
    <w:link w:val="10"/>
    <w:qFormat/>
    <w:locked/>
    <w:uiPriority w:val="99"/>
    <w:rPr>
      <w:rFonts w:cs="Times New Roman"/>
      <w:sz w:val="18"/>
      <w:szCs w:val="18"/>
    </w:rPr>
  </w:style>
  <w:style w:type="paragraph" w:styleId="126">
    <w:name w:val="List Paragraph"/>
    <w:basedOn w:val="1"/>
    <w:qFormat/>
    <w:uiPriority w:val="99"/>
    <w:pPr>
      <w:ind w:firstLine="420" w:firstLineChars="200"/>
    </w:pPr>
  </w:style>
  <w:style w:type="paragraph" w:customStyle="1" w:styleId="12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8">
    <w:name w:val="纯文本 Char"/>
    <w:basedOn w:val="14"/>
    <w:link w:val="9"/>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1111</Words>
  <Characters>6336</Characters>
  <Lines>52</Lines>
  <Paragraphs>14</Paragraphs>
  <TotalTime>1</TotalTime>
  <ScaleCrop>false</ScaleCrop>
  <LinksUpToDate>false</LinksUpToDate>
  <CharactersWithSpaces>7433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2019-11-27T03:05:00Z</dcterms:created>
  <dc:creator>ASUS</dc:creator>
  <cp:lastModifiedBy>Administrator</cp:lastModifiedBy>
  <cp:lastPrinted>2017-05-23T07:18:00Z</cp:lastPrinted>
  <dcterms:modified xsi:type="dcterms:W3CDTF">2021-07-19T08:56:31Z</dcterms:modified>
  <dc:title>2014年度常德市社会劳动保险处</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402FD574D637469CA3A4A2A7D7578BFF</vt:lpwstr>
  </property>
</Properties>
</file>