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52"/>
          <w:szCs w:val="52"/>
        </w:rPr>
      </w:pPr>
    </w:p>
    <w:p>
      <w:pPr>
        <w:jc w:val="cente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桃源县农村生活污水治理专项规划</w:t>
      </w:r>
    </w:p>
    <w:p>
      <w:pPr>
        <w:jc w:val="cente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（2020-2030）</w:t>
      </w: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bookmarkStart w:id="0" w:name="_GoBack"/>
      <w:bookmarkEnd w:id="0"/>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桃源县人民政府</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二○二○年八月</w:t>
      </w: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目   录</w:t>
      </w:r>
    </w:p>
    <w:p>
      <w:pPr>
        <w:rPr>
          <w:rFonts w:asciiTheme="majorEastAsia" w:hAnsiTheme="majorEastAsia" w:eastAsiaTheme="majorEastAsia" w:cstheme="majorEastAsia"/>
          <w:sz w:val="32"/>
          <w:szCs w:val="32"/>
        </w:rPr>
      </w:pPr>
    </w:p>
    <w:p>
      <w:pPr>
        <w:spacing w:line="540" w:lineRule="exact"/>
        <w:jc w:val="distribute"/>
        <w:rPr>
          <w:rFonts w:ascii="黑体" w:hAnsi="黑体" w:eastAsia="黑体" w:cs="黑体"/>
          <w:b/>
          <w:bCs/>
          <w:sz w:val="28"/>
          <w:szCs w:val="28"/>
        </w:rPr>
      </w:pPr>
      <w:r>
        <w:rPr>
          <w:rFonts w:hint="eastAsia" w:ascii="黑体" w:hAnsi="黑体" w:eastAsia="黑体" w:cs="黑体"/>
          <w:b/>
          <w:bCs/>
          <w:sz w:val="28"/>
          <w:szCs w:val="28"/>
        </w:rPr>
        <w:t>第1章 总则………………………………………………………………………1</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 规划背景………………………………………………………………1</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 编制依据………………………………………………………………1</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1.3 规划原则………………………………………………………………5</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1.4 规划范围………………………………………………………………6</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 规划期限………………………………………………………………6</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1.6 规划目标………………………………………………………………6</w:t>
      </w:r>
    </w:p>
    <w:p>
      <w:pPr>
        <w:spacing w:line="540" w:lineRule="exact"/>
        <w:jc w:val="distribute"/>
        <w:rPr>
          <w:rFonts w:ascii="黑体" w:hAnsi="黑体" w:eastAsia="黑体" w:cs="黑体"/>
          <w:b/>
          <w:bCs/>
          <w:sz w:val="28"/>
          <w:szCs w:val="28"/>
        </w:rPr>
      </w:pPr>
      <w:r>
        <w:rPr>
          <w:rFonts w:hint="eastAsia" w:ascii="黑体" w:hAnsi="黑体" w:eastAsia="黑体" w:cs="黑体"/>
          <w:b/>
          <w:bCs/>
          <w:sz w:val="28"/>
          <w:szCs w:val="28"/>
        </w:rPr>
        <w:t>第2章 区域概况………………………………………………………………7</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2.1 地理位置………………………………………………………………7</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2.2 自然气候条件…………………………………………………………8</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2.3 社会经济状况………………………………………………………10</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2.4 生态环境保护状况…………………………………………………16</w:t>
      </w:r>
    </w:p>
    <w:p>
      <w:pPr>
        <w:spacing w:line="540" w:lineRule="exact"/>
        <w:jc w:val="distribute"/>
        <w:rPr>
          <w:rFonts w:ascii="黑体" w:hAnsi="黑体" w:eastAsia="黑体" w:cs="黑体"/>
          <w:b/>
          <w:bCs/>
          <w:sz w:val="28"/>
          <w:szCs w:val="28"/>
        </w:rPr>
      </w:pPr>
      <w:r>
        <w:rPr>
          <w:rFonts w:hint="eastAsia" w:ascii="黑体" w:hAnsi="黑体" w:eastAsia="黑体" w:cs="黑体"/>
          <w:b/>
          <w:bCs/>
          <w:sz w:val="28"/>
          <w:szCs w:val="28"/>
        </w:rPr>
        <w:t>第3章 污染源分析……………………………………………………………19</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3.1 用水情况……………………………………………………………19</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3.2 排水情况……………………………………………………………19</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3.3 农户改厕普及情况…………………………………………………19</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3.4 农村生活污水处理设施建设和运行现状…………………………20</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3.5 污染负荷量预测……………………………………………………21</w:t>
      </w:r>
    </w:p>
    <w:p>
      <w:pPr>
        <w:spacing w:line="540" w:lineRule="exact"/>
        <w:jc w:val="distribute"/>
        <w:rPr>
          <w:rFonts w:ascii="黑体" w:hAnsi="黑体" w:eastAsia="黑体" w:cs="黑体"/>
          <w:b/>
          <w:bCs/>
          <w:sz w:val="28"/>
          <w:szCs w:val="28"/>
        </w:rPr>
      </w:pPr>
      <w:r>
        <w:rPr>
          <w:rFonts w:hint="eastAsia" w:ascii="黑体" w:hAnsi="黑体" w:eastAsia="黑体" w:cs="黑体"/>
          <w:b/>
          <w:bCs/>
          <w:sz w:val="28"/>
          <w:szCs w:val="28"/>
        </w:rPr>
        <w:t>第4章 污水处理设施建设…………………………………………………23</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4.1 治理方式选择………………………………………………………23</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4.2 设施布局选址………………………………………………………23</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4.3 污水收集系统建设…………………………………………………28</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4.4 污水处理技术工艺选择……………………………………………30</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4.5 设施出水排放要求…………………………………………………31</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4.6 固体废物处理处置…………………………………………………35</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4.7 验收移交……………………………………………………………36</w:t>
      </w:r>
    </w:p>
    <w:p>
      <w:pPr>
        <w:spacing w:line="540" w:lineRule="exact"/>
        <w:jc w:val="distribute"/>
        <w:rPr>
          <w:rFonts w:ascii="黑体" w:hAnsi="黑体" w:eastAsia="黑体" w:cs="黑体"/>
          <w:b/>
          <w:bCs/>
          <w:sz w:val="28"/>
          <w:szCs w:val="28"/>
        </w:rPr>
      </w:pPr>
      <w:r>
        <w:rPr>
          <w:rFonts w:hint="eastAsia" w:ascii="黑体" w:hAnsi="黑体" w:eastAsia="黑体" w:cs="黑体"/>
          <w:b/>
          <w:bCs/>
          <w:sz w:val="28"/>
          <w:szCs w:val="28"/>
        </w:rPr>
        <w:t>第5章 设施运行管理…………………………………………………………37</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5.1 运维管理……………………………………………………………37</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5.2 环境监管……………………………………………………………39</w:t>
      </w:r>
    </w:p>
    <w:p>
      <w:pPr>
        <w:spacing w:line="540" w:lineRule="exact"/>
        <w:jc w:val="distribute"/>
        <w:rPr>
          <w:rFonts w:ascii="黑体" w:hAnsi="黑体" w:eastAsia="黑体" w:cs="黑体"/>
          <w:b/>
          <w:bCs/>
          <w:sz w:val="28"/>
          <w:szCs w:val="28"/>
        </w:rPr>
      </w:pPr>
      <w:r>
        <w:rPr>
          <w:rFonts w:hint="eastAsia" w:ascii="黑体" w:hAnsi="黑体" w:eastAsia="黑体" w:cs="黑体"/>
          <w:b/>
          <w:bCs/>
          <w:sz w:val="28"/>
          <w:szCs w:val="28"/>
        </w:rPr>
        <w:t>第6章 工程估算与资金筹措…………………………………………………41</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6.1 工程概况……………………………………………………………41</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6.2 工程建设投资估算…………………………………………………41</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6.3 运维资金估算………………………………………………………42</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6.4 资金筹措……………………………………………………………44</w:t>
      </w:r>
    </w:p>
    <w:p>
      <w:pPr>
        <w:spacing w:line="540" w:lineRule="exact"/>
        <w:jc w:val="distribute"/>
        <w:rPr>
          <w:rFonts w:ascii="黑体" w:hAnsi="黑体" w:eastAsia="黑体" w:cs="黑体"/>
          <w:b/>
          <w:bCs/>
          <w:sz w:val="28"/>
          <w:szCs w:val="28"/>
        </w:rPr>
      </w:pPr>
      <w:r>
        <w:rPr>
          <w:rFonts w:hint="eastAsia" w:ascii="黑体" w:hAnsi="黑体" w:eastAsia="黑体" w:cs="黑体"/>
          <w:b/>
          <w:bCs/>
          <w:sz w:val="28"/>
          <w:szCs w:val="28"/>
        </w:rPr>
        <w:t>第7章 效益分析……………………………………………………………45</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7.1 环境效益分析………………………………………………………45</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7.2 社会效益分析………………………………………………………45</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7.3 经济效益分析………………………………………………………46</w:t>
      </w:r>
    </w:p>
    <w:p>
      <w:pPr>
        <w:spacing w:line="540" w:lineRule="exact"/>
        <w:jc w:val="distribute"/>
        <w:rPr>
          <w:rFonts w:ascii="黑体" w:hAnsi="黑体" w:eastAsia="黑体" w:cs="黑体"/>
          <w:b/>
          <w:bCs/>
          <w:sz w:val="28"/>
          <w:szCs w:val="28"/>
        </w:rPr>
      </w:pPr>
      <w:r>
        <w:rPr>
          <w:rFonts w:hint="eastAsia" w:ascii="黑体" w:hAnsi="黑体" w:eastAsia="黑体" w:cs="黑体"/>
          <w:b/>
          <w:bCs/>
          <w:sz w:val="28"/>
          <w:szCs w:val="28"/>
        </w:rPr>
        <w:t>第8章 保障措施………………………………………………………………47</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8.1 组织保障……………………………………………………………47</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8.2 资金保障……………………………………………………………47</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8.3 技术保障……………………………………………………………47</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8.4 建设质量保障………………………………………………………48</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8.5 监管保障……………………………………………………………48</w:t>
      </w:r>
    </w:p>
    <w:p>
      <w:pPr>
        <w:spacing w:line="540" w:lineRule="exact"/>
        <w:ind w:firstLine="560" w:firstLineChars="200"/>
        <w:jc w:val="distribute"/>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8.6 公众参与……………………………………………………………48</w:t>
      </w: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sectPr>
          <w:pgSz w:w="11906" w:h="16838"/>
          <w:pgMar w:top="1701" w:right="1247" w:bottom="1701" w:left="1247" w:header="851" w:footer="992" w:gutter="0"/>
          <w:cols w:space="0" w:num="1"/>
          <w:docGrid w:type="lines" w:linePitch="312" w:charSpace="0"/>
        </w:sect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第1章</w:t>
      </w:r>
      <w:r>
        <w:rPr>
          <w:rFonts w:hint="eastAsia" w:asciiTheme="majorEastAsia" w:hAnsiTheme="majorEastAsia" w:eastAsiaTheme="majorEastAsia" w:cstheme="majorEastAsia"/>
          <w:b/>
          <w:bCs/>
          <w:sz w:val="44"/>
          <w:szCs w:val="44"/>
        </w:rPr>
        <w:tab/>
      </w:r>
      <w:r>
        <w:rPr>
          <w:rFonts w:hint="eastAsia" w:asciiTheme="majorEastAsia" w:hAnsiTheme="majorEastAsia" w:eastAsiaTheme="majorEastAsia" w:cstheme="majorEastAsia"/>
          <w:b/>
          <w:bCs/>
          <w:sz w:val="44"/>
          <w:szCs w:val="44"/>
        </w:rPr>
        <w:t>总则</w:t>
      </w:r>
    </w:p>
    <w:p>
      <w:pPr>
        <w:rPr>
          <w:rFonts w:ascii="黑体" w:hAnsi="黑体" w:eastAsia="黑体" w:cs="黑体"/>
          <w:sz w:val="30"/>
          <w:szCs w:val="30"/>
        </w:rPr>
      </w:pPr>
    </w:p>
    <w:p>
      <w:pPr>
        <w:spacing w:line="560" w:lineRule="exact"/>
        <w:rPr>
          <w:rFonts w:ascii="黑体" w:hAnsi="黑体" w:eastAsia="黑体" w:cs="黑体"/>
          <w:b/>
          <w:bCs/>
          <w:sz w:val="30"/>
          <w:szCs w:val="30"/>
        </w:rPr>
      </w:pPr>
      <w:r>
        <w:rPr>
          <w:rFonts w:hint="eastAsia" w:ascii="黑体" w:hAnsi="黑体" w:eastAsia="黑体" w:cs="黑体"/>
          <w:b/>
          <w:bCs/>
          <w:sz w:val="30"/>
          <w:szCs w:val="30"/>
        </w:rPr>
        <w:t>1.1  规划背景</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为贯彻落实中央《农村人居环境整治三年行动方案》和《湖南省农村人居环境整治三年行动实施方案（2018-2020年）》精神，以习近平新时代中国特色社会主义思想为指导，按照实施乡村振兴战略的总要求，依据《县域农村生活污水治理专项规划编制指南（试行）》，编制本规划。以指导桃源县农村污水治理，提高农村污水治理水平，改善农村人居环境，加快生态宜居的美丽乡村建设，促进生态环境健康发展。</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本规划范围为桃源县全县2个街道、22个镇、4个乡，共涉及413个行政村（居）。规划共分为 远期，现状基准年2019年，近期规划至2022年，中期规划至2025年，远期规划至2030年。</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在此背景下，受常德市生态环境局桃源分局委托，我单位规划编制项目组人员对桃源县的农村生活污水治理现状开展了深入细致的资料调研、现场踏勘以及部门走访。项目组在相关规划、图件 和资料的基础上，进行了《桃源县农村生活污水处理专项规划》现状梳理并行成了正式方案稿。</w:t>
      </w:r>
    </w:p>
    <w:p>
      <w:pPr>
        <w:spacing w:line="560" w:lineRule="exact"/>
        <w:rPr>
          <w:rFonts w:ascii="黑体" w:hAnsi="黑体" w:eastAsia="黑体" w:cs="黑体"/>
          <w:b/>
          <w:bCs/>
          <w:sz w:val="30"/>
          <w:szCs w:val="30"/>
        </w:rPr>
      </w:pPr>
      <w:r>
        <w:rPr>
          <w:rFonts w:hint="eastAsia" w:ascii="黑体" w:hAnsi="黑体" w:eastAsia="黑体" w:cs="黑体"/>
          <w:b/>
          <w:bCs/>
          <w:sz w:val="30"/>
          <w:szCs w:val="30"/>
        </w:rPr>
        <w:t>1.2  编制依据</w:t>
      </w:r>
    </w:p>
    <w:p>
      <w:pPr>
        <w:spacing w:line="560" w:lineRule="exact"/>
        <w:rPr>
          <w:rFonts w:ascii="黑体" w:hAnsi="黑体" w:eastAsia="黑体" w:cs="黑体"/>
          <w:b/>
          <w:bCs/>
          <w:sz w:val="28"/>
          <w:szCs w:val="28"/>
        </w:rPr>
      </w:pPr>
      <w:r>
        <w:rPr>
          <w:rFonts w:hint="eastAsia" w:ascii="黑体" w:hAnsi="黑体" w:eastAsia="黑体" w:cs="黑体"/>
          <w:b/>
          <w:bCs/>
          <w:sz w:val="28"/>
          <w:szCs w:val="28"/>
        </w:rPr>
        <w:t>1.2.1  法律法规</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（1）《中华人民共和国城乡规划法》（2019年修正）</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（2）《中华人民共和国环境保护法》（2014年修订）</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（3）《中华人民共和国水法》（2016年修订）</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（4）《中华人民共和国水土保持法实施条例》（2011年1月8日修正）</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（5）《中华人民共和国水污染防治法》（2017年修正）</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（6）《中华人民共和国固体废物污染环境防治法》（2016年11月7日修正）</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（7）《建设项目环境保护管理条例》（2017年）</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（8）其他相关法律法规</w:t>
      </w:r>
    </w:p>
    <w:p>
      <w:pPr>
        <w:rPr>
          <w:rFonts w:asciiTheme="majorEastAsia" w:hAnsiTheme="majorEastAsia" w:eastAsiaTheme="majorEastAsia" w:cstheme="majorEastAsia"/>
          <w:sz w:val="22"/>
          <w:szCs w:val="22"/>
        </w:rPr>
      </w:pPr>
    </w:p>
    <w:p>
      <w:pPr>
        <w:spacing w:line="560" w:lineRule="exact"/>
        <w:rPr>
          <w:rFonts w:ascii="黑体" w:hAnsi="黑体" w:eastAsia="黑体" w:cs="黑体"/>
          <w:b/>
          <w:bCs/>
          <w:sz w:val="28"/>
          <w:szCs w:val="28"/>
        </w:rPr>
      </w:pPr>
      <w:r>
        <w:rPr>
          <w:rFonts w:hint="eastAsia" w:ascii="黑体" w:hAnsi="黑体" w:eastAsia="黑体" w:cs="黑体"/>
          <w:b/>
          <w:bCs/>
          <w:sz w:val="28"/>
          <w:szCs w:val="28"/>
        </w:rPr>
        <w:t>1.2.2  国家及地方标准和规范</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（1）《地表水环境质量标准》（GB3838-2002）</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（2）《农用污泥污染物控制标准》（GB4284-2018）</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（3）《农田灌溉水质标准》（GB5084-2005）</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（4）《渔业水质标准》（GB11607-89）</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（5）《污水综合排放标准》（GB8978-1996）</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（6）《城镇污水处理厂污染物排放标准》（GB18918-2002）</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（7）《污水排入城镇下水道水质标准》（GB/T31962-2015）</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（8）《湖南省城镇污水处理厂主要水污染物排放标准》（DB43/T  1546-2018）</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（9）《农村生活污水处理设施水污染物排放标准》（DB43/1665-2019）</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（10）《声环境质量标准》（GB3096-2008）</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（11）《环境空气质量标准》（GB3095-2012）</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（12）《恶臭污染物排放标准》（GB14554-93）</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（13）《防洪标准》（GB50201-2014）</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（14）《城市污水再生利用 景观环境用水水质》（GB/T18921-2002）</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（15）《城镇污水处理厂污泥处置园林绿化用泥质》（GB/T23486-2009）</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（16）《农村生活污水处理工程技术标准》（GB/T51347-2019）</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（17）《农村生活污水处理项目建设与投资指南》（环发〔2013〕130号）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（18）《小城镇污水处理工程建设标准》（建标 148-2010）</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（19）《城市给水工程规划规范》（GB50282-2016）</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（20）《城市排水工程规范》（GB50318-2017）</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（21）《城市水系规划规范》（GB50513-2009）</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（22）《室外排水设计规范》（GB50014-2016）</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（23）《室外给水设计规范》（GB50013-2018）</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（24）《建筑给水排水设计标准》（GB50015-2019）</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（25）《村庄整治技术规范》（GB50445-2008）</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（26）《农村生活污染控制技术规范》（HJ574-2010）</w:t>
      </w:r>
    </w:p>
    <w:p>
      <w:pPr>
        <w:spacing w:line="360" w:lineRule="auto"/>
        <w:ind w:firstLine="440" w:firstLineChars="200"/>
        <w:rPr>
          <w:rFonts w:asciiTheme="majorEastAsia" w:hAnsiTheme="majorEastAsia" w:eastAsiaTheme="majorEastAsia" w:cstheme="majorEastAsia"/>
          <w:sz w:val="22"/>
          <w:szCs w:val="22"/>
        </w:rPr>
      </w:pP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（27）《泵站设计规范》（GB/50265-2010）</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（28）《含油污水处理工程技术规范》（HJ580-2010）</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（29）《人工湿地污水处理工程技术规范》（HJ2005-2010）</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（30）《生物接触氧化法工程技术规范》（HJ2009-2011）</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（31）《生物滤池法工程技术规范》（HJ2014-2012）</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（32）《污水自然处理工程技术规范》（CJJ/T54-2017）</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（33）《给水排水管道工程施工及验收规范》（GB50268-2008）</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（34）《给水排水构筑物工程施工及验收规范》（GB50141-2008）</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（35）《混凝土结构工程施工质量验收规范》（GB50204-2015）</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（36）《砌体结构工程施工质量验收规范》（GB50203-2011）</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（37）《县（市）域城乡污水统筹治理导则（试行）》（建村〔2014〕6号）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（38）其他相关标准规范</w:t>
      </w:r>
    </w:p>
    <w:p>
      <w:pPr>
        <w:spacing w:line="560" w:lineRule="exact"/>
        <w:rPr>
          <w:rFonts w:ascii="黑体" w:hAnsi="黑体" w:eastAsia="黑体" w:cs="黑体"/>
          <w:b/>
          <w:bCs/>
          <w:sz w:val="28"/>
          <w:szCs w:val="28"/>
        </w:rPr>
      </w:pPr>
      <w:r>
        <w:rPr>
          <w:rFonts w:hint="eastAsia" w:ascii="黑体" w:hAnsi="黑体" w:eastAsia="黑体" w:cs="黑体"/>
          <w:b/>
          <w:bCs/>
          <w:sz w:val="28"/>
          <w:szCs w:val="28"/>
        </w:rPr>
        <w:t>1.2.3  相关的政策文件</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（1）《国务院关于印发水污染防治行动计划的通知》（国发〔2015〕17号）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（2）《中共中央国务院印发&lt;乡村振兴战略规划（2018-2022年）&gt;》（中发〔2018〕1号）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（3）《中共中央办公厅国务院办公厅关于印发&lt;农村人居环境整治三年行动方案&gt;的通知》（中 办发〔2018〕5号）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（4）《中央农村工作领导小组办公室、农业农村部、生态环境部、住房城乡建设部、水利部、 科技部、国家发展改革委、财政部、银保监会关于推进农村生活污水治理的指导意见》（中农发〔2019〕</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14号）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（5）《生态环境部农业农村部&lt;关于印发农业农村污染治理攻坚战行动计划&gt;的通知》（环土 壤〔2018〕143号）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（6）《关于印发〈县域农村生活污水治理专项规划编制指南（试行）〉的通知》（环办土壤 函〔2019〕756号）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（7）《关于进一步加强农业农村生态环境工作的指导意见》（环办土壤〔2019〕24号）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（8）《洞庭湖生态环境专项整治三年行动计划（2018-2020年）》（湘政办发〔2017〕83号）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（9）《湖南省洞庭湖水环境综合治理规划实施方案（2018—2025年）》</w:t>
      </w:r>
    </w:p>
    <w:p>
      <w:pPr>
        <w:spacing w:line="360" w:lineRule="auto"/>
        <w:ind w:firstLine="440" w:firstLineChars="200"/>
        <w:rPr>
          <w:rFonts w:asciiTheme="majorEastAsia" w:hAnsiTheme="majorEastAsia" w:eastAsiaTheme="majorEastAsia" w:cstheme="majorEastAsia"/>
          <w:sz w:val="22"/>
          <w:szCs w:val="22"/>
        </w:rPr>
      </w:pP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（10）《关于推进农村生活污水治理的实施意见（》湘农联〔2019〕106号）</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（11）《湖南省污染防治攻坚战三年行动计划（2018-2020年）》（湘政发〔2018〕17号）</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（12）《湖南省农村生活污水治理专项规划指导意见》湘环办〔2020〕40 号</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（13）《湖南省农村生活污水治理村考核暂行办法》</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（14）《&lt;桃源县农村人居环境整治三年行动实施方案（2018—2020年）&gt;的通知》（桃办发【2019】2 号）</w:t>
      </w:r>
    </w:p>
    <w:p>
      <w:pPr>
        <w:spacing w:line="560" w:lineRule="exact"/>
        <w:rPr>
          <w:rFonts w:ascii="黑体" w:hAnsi="黑体" w:eastAsia="黑体" w:cs="黑体"/>
          <w:b/>
          <w:bCs/>
          <w:sz w:val="28"/>
          <w:szCs w:val="28"/>
        </w:rPr>
      </w:pPr>
      <w:r>
        <w:rPr>
          <w:rFonts w:hint="eastAsia" w:ascii="黑体" w:hAnsi="黑体" w:eastAsia="黑体" w:cs="黑体"/>
          <w:b/>
          <w:bCs/>
          <w:sz w:val="28"/>
          <w:szCs w:val="28"/>
        </w:rPr>
        <w:t>1.2.4  相关规划和报告</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（1）《湖南省农村生活污水治理专项规划（2020-2030）》</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（2）《桃源县城市总体规划（2001-2020）》（2011年修改）</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（3）《桃源县土地利用总体规划（2006-2020年）》（2016年修订版）</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（4）《常德市水功能区划》（2014年）</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（5）《桃源生态县建设规划（修编）（2013-2020）》</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（6）《桃源县城市总体规划-环境保护专项规划》（2014年）</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（7）《桃源县城规划区黑臭水体识别及综合整治专项规划》（2018年）</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（8）《桃源县旅游业发展总体规划》（2010年）</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（9）《湖南乌云界国家级自然保护区总体规划》（2006年）</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（10）《桃花源国家级风景名胜区总体规划（2012-2020）》</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（11）《湖南桃源沅水湿地公园总体规划（2011-2018）》</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（12）《桃源县“千吨万人”以上集中式饮用水水源保护区规范化建设和环境问题整治项目实 施方案》（2019年）</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（13）桃源县各乡镇总体规划、排水规划及相关专项规划</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（14）其他相关规范和报告</w:t>
      </w:r>
    </w:p>
    <w:p>
      <w:pPr>
        <w:spacing w:line="560" w:lineRule="exact"/>
        <w:rPr>
          <w:rFonts w:ascii="黑体" w:hAnsi="黑体" w:eastAsia="黑体" w:cs="黑体"/>
          <w:b/>
          <w:bCs/>
          <w:sz w:val="30"/>
          <w:szCs w:val="30"/>
        </w:rPr>
      </w:pPr>
      <w:r>
        <w:rPr>
          <w:rFonts w:hint="eastAsia" w:ascii="黑体" w:hAnsi="黑体" w:eastAsia="黑体" w:cs="黑体"/>
          <w:b/>
          <w:bCs/>
          <w:sz w:val="28"/>
          <w:szCs w:val="28"/>
        </w:rPr>
        <w:t>1.2.5  其它基础资料</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（1）桃源县各部门、乡镇、街道提供的相关资料。</w:t>
      </w:r>
    </w:p>
    <w:p>
      <w:pPr>
        <w:spacing w:line="560" w:lineRule="exact"/>
        <w:rPr>
          <w:rFonts w:ascii="黑体" w:hAnsi="黑体" w:eastAsia="黑体" w:cs="黑体"/>
          <w:b/>
          <w:bCs/>
          <w:sz w:val="30"/>
          <w:szCs w:val="30"/>
        </w:rPr>
      </w:pPr>
      <w:r>
        <w:rPr>
          <w:rFonts w:hint="eastAsia" w:ascii="黑体" w:hAnsi="黑体" w:eastAsia="黑体" w:cs="黑体"/>
          <w:b/>
          <w:bCs/>
          <w:sz w:val="30"/>
          <w:szCs w:val="30"/>
        </w:rPr>
        <w:t>1.3  规划原则</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（1）科学规划，统筹安排</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以县域总体规划为先导，结合生态保护红线、村庄规划、水环境功能区划、给排水、改厕和黑臭水体治理等工作，充分考虑农村经济 社会状况、生活污水产排规律、环境容量、村民意愿等因 素，以污水减量化、分类就地处理、循环利用为导向，科学规划和安排农村生活污水治理工作。</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（2）突出重点，梯次推进</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坚持短期目标与长远规划相结合，既尽力而为，又量力而行。综合考虑现阶段城乡发展趋势、财政投入能力、农民接受程度等，合理确定污水治理任务目标。优先整治生态环境敏感、人口集聚、发展乡 村旅游以及水质需改善控制单元范围内的村庄，通过试点示范不断探索，梯次推进，全面覆盖。</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（3）因地制宜，分类治理</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综合考虑村庄自然禀赋、经济社会发展、污水产排状况、生态环 境敏感程度、受纳水体环境 容量等，科学确定本地区农村生活污水治理方式。靠近城镇、有条件的村庄，生活污水纳入城镇污 水管网统一处理。人口集聚、利用空间不足、经济条件较好的村庄，可采取管网收集-集中处理- 达标排放的治理方式。污水产生量较少、居住较为分散、地形地貌复杂的村庄，优先采用资源化利 用的治理方式。</w:t>
      </w:r>
    </w:p>
    <w:p>
      <w:pPr>
        <w:numPr>
          <w:ilvl w:val="0"/>
          <w:numId w:val="1"/>
        </w:num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建管并重，长效运行</w:t>
      </w:r>
    </w:p>
    <w:p>
      <w:pPr>
        <w:numPr>
          <w:ilvl w:val="0"/>
          <w:numId w:val="1"/>
        </w:num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坚持先建机制、后建工程，推动以县级行政区域为单元，实行农村生活污水处理统一规划、统一建设、统一运行、统一管理。鼓励规模化、专业化、社会化建设和运行管理。有条件的地区，探 索建立污水处理受益农户付费制度和多元化的运行保障机制，确保治理长效。</w:t>
      </w:r>
    </w:p>
    <w:p>
      <w:pPr>
        <w:spacing w:line="360" w:lineRule="auto"/>
        <w:ind w:firstLine="442"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（5）经济实用，易于推广</w:t>
      </w:r>
      <w:r>
        <w:rPr>
          <w:rFonts w:hint="eastAsia" w:asciiTheme="majorEastAsia" w:hAnsiTheme="majorEastAsia" w:eastAsiaTheme="majorEastAsia" w:cstheme="majorEastAsia"/>
          <w:sz w:val="22"/>
          <w:szCs w:val="22"/>
        </w:rPr>
        <w:t xml:space="preserve"> 充分调查农村水环境质量、污水排放现状和治理需求，考虑当地经济发展水平、污水产生规模</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和农民生产生活习惯，综合评判农村生活污水治理的环境效益、经济效益和社会效益，选择技术成熟、经济 实用、管理方便、运行稳定的农村生活污水治理手段和途径。</w:t>
      </w:r>
    </w:p>
    <w:p>
      <w:pPr>
        <w:spacing w:line="360" w:lineRule="auto"/>
        <w:ind w:firstLine="442"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（6）政府主导，社会参与</w:t>
      </w:r>
      <w:r>
        <w:rPr>
          <w:rFonts w:hint="eastAsia" w:asciiTheme="majorEastAsia" w:hAnsiTheme="majorEastAsia" w:eastAsiaTheme="majorEastAsia" w:cstheme="majorEastAsia"/>
          <w:sz w:val="22"/>
          <w:szCs w:val="22"/>
        </w:rPr>
        <w:t xml:space="preserve"> </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强化地方政府主体责任，加大财政资金投入力度，引导农民以投工投劳等方式参与设施建设、运行和管理，鼓励采用政府和社会资本合作（PPP）等方式，引导企业和金融机构积极参与，推动 农村生活 污水第三方治理。</w:t>
      </w:r>
    </w:p>
    <w:p>
      <w:pPr>
        <w:spacing w:line="560" w:lineRule="exact"/>
        <w:rPr>
          <w:rFonts w:ascii="黑体" w:hAnsi="黑体" w:eastAsia="黑体" w:cs="黑体"/>
          <w:b/>
          <w:bCs/>
          <w:sz w:val="30"/>
          <w:szCs w:val="30"/>
        </w:rPr>
      </w:pPr>
      <w:r>
        <w:rPr>
          <w:rFonts w:hint="eastAsia" w:ascii="黑体" w:hAnsi="黑体" w:eastAsia="黑体" w:cs="黑体"/>
          <w:b/>
          <w:bCs/>
          <w:sz w:val="30"/>
          <w:szCs w:val="30"/>
        </w:rPr>
        <w:t>1.4  规划范围</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本规划范围为桃源县行政辖区内的村庄和国有农牧场。 </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桃源县辖2个街道、22个镇、4个乡，规划共涉及行政村（居）413个，其中已规划全部纳入城镇污水处理厂的行政村（居）为54个，拟治理的行政村（居）为359个，农村人口704677人，户数220731户。</w:t>
      </w:r>
    </w:p>
    <w:p>
      <w:pPr>
        <w:spacing w:line="560" w:lineRule="exact"/>
        <w:rPr>
          <w:rFonts w:ascii="黑体" w:hAnsi="黑体" w:eastAsia="黑体" w:cs="黑体"/>
          <w:b/>
          <w:bCs/>
          <w:sz w:val="30"/>
          <w:szCs w:val="30"/>
        </w:rPr>
      </w:pPr>
      <w:r>
        <w:rPr>
          <w:rFonts w:hint="eastAsia" w:ascii="黑体" w:hAnsi="黑体" w:eastAsia="黑体" w:cs="黑体"/>
          <w:b/>
          <w:bCs/>
          <w:sz w:val="30"/>
          <w:szCs w:val="30"/>
        </w:rPr>
        <w:t>1.5  规划期限</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本规划现状基准年 2019年，近期至 2022年，中期至 2025年，远期至 2030年。</w:t>
      </w:r>
    </w:p>
    <w:p>
      <w:pPr>
        <w:spacing w:line="560" w:lineRule="exact"/>
        <w:rPr>
          <w:rFonts w:ascii="黑体" w:hAnsi="黑体" w:eastAsia="黑体" w:cs="黑体"/>
          <w:b/>
          <w:bCs/>
          <w:sz w:val="30"/>
          <w:szCs w:val="30"/>
        </w:rPr>
      </w:pPr>
      <w:r>
        <w:rPr>
          <w:rFonts w:hint="eastAsia" w:ascii="黑体" w:hAnsi="黑体" w:eastAsia="黑体" w:cs="黑体"/>
          <w:b/>
          <w:bCs/>
          <w:sz w:val="30"/>
          <w:szCs w:val="30"/>
        </w:rPr>
        <w:t>1.6  规划目标</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根据《湖南省农村生活污水治理专项规划（2020-2030）》，桃源县为湖南省洞庭湖地区二类县。</w:t>
      </w:r>
    </w:p>
    <w:p>
      <w:pPr>
        <w:numPr>
          <w:ilvl w:val="0"/>
          <w:numId w:val="2"/>
        </w:num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近期</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到2022年，农村生活污水治理率明显提高。建有污水治理设施（包括资源化利用）的行政村达到306个，行政村（居）覆盖率不低于85%；建有污水治理设施（包括资源化利用）的农户数达到12.11万户，覆盖率不低于55%；全县农村污水处理设施达标率不低于75%。</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（2）中期</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到2025年，逐步完善农村生活污水治理设施建设和有效处理能力。建有污水治理设施（包括资源化利用）的行政村达到359个，行政村（居）覆盖率不低于100%；建有污水治理设施（包括资源 化利用）的农户数达到15.42万户，覆盖率不低于70%；全县农村污水处理设施达标率不低于80%。 基本建立可持续良性发展的农村污水收集治理体系。</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（3）远期</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至2030年，全县农村生活污水治理水平全面提升。建有污水治理设施（包括资源化利用）的行政村（居）覆盖率不低于100%；建有污水治理设施（包括资源化利用）的农户数达到19.87万户， 覆盖率不低于90%；全县农村污水处理设施达标率不低于80%。基本实现农村生活污水全面治理， 农村生态环境显著改善。</w:t>
      </w:r>
    </w:p>
    <w:p>
      <w:pPr>
        <w:spacing w:line="360" w:lineRule="auto"/>
        <w:ind w:firstLine="440" w:firstLineChars="200"/>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第2章</w:t>
      </w:r>
      <w:r>
        <w:rPr>
          <w:rFonts w:hint="eastAsia" w:asciiTheme="majorEastAsia" w:hAnsiTheme="majorEastAsia" w:eastAsiaTheme="majorEastAsia" w:cstheme="majorEastAsia"/>
          <w:b/>
          <w:bCs/>
          <w:sz w:val="44"/>
          <w:szCs w:val="44"/>
        </w:rPr>
        <w:tab/>
      </w:r>
      <w:r>
        <w:rPr>
          <w:rFonts w:hint="eastAsia" w:asciiTheme="majorEastAsia" w:hAnsiTheme="majorEastAsia" w:eastAsiaTheme="majorEastAsia" w:cstheme="majorEastAsia"/>
          <w:b/>
          <w:bCs/>
          <w:sz w:val="44"/>
          <w:szCs w:val="44"/>
        </w:rPr>
        <w:t>区域概况</w:t>
      </w:r>
    </w:p>
    <w:p>
      <w:pPr>
        <w:ind w:right="-20" w:firstLine="440" w:firstLineChars="200"/>
        <w:jc w:val="left"/>
        <w:rPr>
          <w:rFonts w:asciiTheme="majorEastAsia" w:hAnsiTheme="majorEastAsia" w:eastAsiaTheme="majorEastAsia" w:cstheme="majorEastAsia"/>
          <w:sz w:val="22"/>
          <w:szCs w:val="22"/>
        </w:rPr>
      </w:pPr>
    </w:p>
    <w:p>
      <w:pPr>
        <w:spacing w:line="360" w:lineRule="auto"/>
        <w:ind w:right="-20"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桃源县，历来被誉为“世外仙境”。域内生活着以汉族为主以及回族、维吾尔族、土家族、满 族侗族、壮族、瑶族等13个民族，人口930283（农业人口704677，非农业人口225606）人，180余个 姓氏。桃源地理自然条件优越，物产资源丰富，对发展农业、工业商业和旅游等其他各种事业，都 是得天独厚的黄金宝地。</w:t>
      </w:r>
    </w:p>
    <w:p>
      <w:pPr>
        <w:spacing w:line="360" w:lineRule="auto"/>
        <w:rPr>
          <w:rFonts w:ascii="黑体" w:hAnsi="黑体" w:eastAsia="黑体" w:cs="黑体"/>
          <w:b/>
          <w:bCs/>
          <w:sz w:val="30"/>
          <w:szCs w:val="30"/>
        </w:rPr>
      </w:pPr>
      <w:r>
        <w:rPr>
          <w:rFonts w:hint="eastAsia" w:ascii="黑体" w:hAnsi="黑体" w:eastAsia="黑体" w:cs="黑体"/>
          <w:b/>
          <w:bCs/>
          <w:sz w:val="30"/>
          <w:szCs w:val="30"/>
        </w:rPr>
        <w:t>2.1  地理位置</w:t>
      </w:r>
    </w:p>
    <w:p>
      <w:pPr>
        <w:spacing w:line="360" w:lineRule="auto"/>
        <w:ind w:right="-20"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位于湖南省西北部，其地理位置：西起牛车河镇高峰村万家河，东至木塘垸乡仁丰村草鞋洲，直线距离约75公里；南起西安镇薛家冲村狮子岭，北至热市镇老棚村，直线距离约118公里，县域面积4441.22平方公里，距离省会长沙229公里。其县域在湖南省县（市）中居第四位。耕地面积为134.29万亩，在全省县（市）中居第一位。县西与怀化地区的沅陵县、张家界市的慈利县、永定区交界，东与常德市的临澧县、鼎城区接壤，北枕石门县，南抵益阳市的安化县。地处东经 110°50′47″-111°36′41″，北纬  28°24′24″-29°24′00″。</w:t>
      </w:r>
    </w:p>
    <w:p>
      <w:pPr>
        <w:spacing w:line="360" w:lineRule="auto"/>
        <w:ind w:right="-20"/>
        <w:jc w:val="center"/>
        <w:rPr>
          <w:rFonts w:ascii="Times New Roman" w:hAnsi="Times New Roman" w:eastAsia="Times New Roman" w:cs="Times New Roman"/>
          <w:sz w:val="20"/>
          <w:szCs w:val="20"/>
        </w:rPr>
      </w:pPr>
      <w:r>
        <w:drawing>
          <wp:inline distT="0" distB="0" distL="114300" distR="114300">
            <wp:extent cx="2986405" cy="3570605"/>
            <wp:effectExtent l="0" t="0" r="444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2986405" cy="3570605"/>
                    </a:xfrm>
                    <a:prstGeom prst="rect">
                      <a:avLst/>
                    </a:prstGeom>
                    <a:noFill/>
                    <a:ln w="9525">
                      <a:noFill/>
                    </a:ln>
                  </pic:spPr>
                </pic:pic>
              </a:graphicData>
            </a:graphic>
          </wp:inline>
        </w:drawing>
      </w:r>
    </w:p>
    <w:p>
      <w:pPr>
        <w:jc w:val="center"/>
        <w:rPr>
          <w:rFonts w:ascii="黑体" w:hAnsi="黑体" w:eastAsia="黑体" w:cs="黑体"/>
          <w:sz w:val="22"/>
          <w:szCs w:val="22"/>
        </w:rPr>
      </w:pPr>
      <w:r>
        <w:rPr>
          <w:rFonts w:hint="eastAsia" w:ascii="黑体" w:hAnsi="黑体" w:eastAsia="黑体" w:cs="黑体"/>
          <w:sz w:val="22"/>
          <w:szCs w:val="22"/>
        </w:rPr>
        <w:t>图 1-1 桃源县地理位置图</w:t>
      </w:r>
    </w:p>
    <w:p>
      <w:pPr>
        <w:jc w:val="center"/>
        <w:rPr>
          <w:rFonts w:ascii="黑体" w:hAnsi="黑体" w:eastAsia="黑体" w:cs="黑体"/>
          <w:sz w:val="22"/>
          <w:szCs w:val="22"/>
        </w:rPr>
      </w:pPr>
    </w:p>
    <w:p>
      <w:pPr>
        <w:rPr>
          <w:rFonts w:ascii="黑体" w:hAnsi="黑体" w:eastAsia="黑体" w:cs="黑体"/>
          <w:sz w:val="22"/>
          <w:szCs w:val="22"/>
        </w:rPr>
      </w:pPr>
    </w:p>
    <w:p>
      <w:pPr>
        <w:rPr>
          <w:rFonts w:ascii="黑体" w:hAnsi="黑体" w:eastAsia="黑体" w:cs="黑体"/>
          <w:sz w:val="22"/>
          <w:szCs w:val="22"/>
        </w:rPr>
      </w:pPr>
    </w:p>
    <w:p>
      <w:pPr>
        <w:spacing w:line="540" w:lineRule="exact"/>
        <w:rPr>
          <w:rFonts w:ascii="黑体" w:hAnsi="黑体" w:eastAsia="黑体" w:cs="黑体"/>
          <w:b/>
          <w:bCs/>
          <w:sz w:val="30"/>
          <w:szCs w:val="30"/>
        </w:rPr>
      </w:pPr>
      <w:r>
        <w:rPr>
          <w:rFonts w:hint="eastAsia" w:ascii="黑体" w:hAnsi="黑体" w:eastAsia="黑体" w:cs="黑体"/>
          <w:b/>
          <w:bCs/>
          <w:sz w:val="30"/>
          <w:szCs w:val="30"/>
        </w:rPr>
        <w:t>2.2  自然气候条件</w:t>
      </w:r>
    </w:p>
    <w:p>
      <w:pPr>
        <w:spacing w:line="540" w:lineRule="exact"/>
        <w:rPr>
          <w:rFonts w:ascii="黑体" w:hAnsi="黑体" w:eastAsia="黑体" w:cs="黑体"/>
          <w:b/>
          <w:bCs/>
          <w:sz w:val="28"/>
          <w:szCs w:val="28"/>
        </w:rPr>
      </w:pPr>
      <w:r>
        <w:rPr>
          <w:rFonts w:hint="eastAsia" w:ascii="黑体" w:hAnsi="黑体" w:eastAsia="黑体" w:cs="黑体"/>
          <w:b/>
          <w:bCs/>
          <w:sz w:val="28"/>
          <w:szCs w:val="28"/>
        </w:rPr>
        <w:t>2.2.1  地形、地貌、地质特征</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桃源县属湘赣丘陵的一部分，处于湘西山地向洞庭湖滨湖平原的过渡带上，为雪峰、武陵两大 山系山脉夹峙，形成三面环山，由南部和西北部山地向中部及东部倾斜，呈“C”字形不完整的山间丘陵盆地。地势西峻东缓，南北高、中间低，从山地、丘陵到平原的过渡中有梯级降低现象。境内丘陵分布较广，主要集中于盆地中部，与山地存在着明显的地形转折，一般切割较深，起伏较大。</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桃源县为侵蚀构造地貌，由浅变质岩、砂岩、页岩或花岗石组成中山、低山，根据中国地震动 加速度峰值图和反应谱特征周期区划图，该地区地震动峰值加速度为0.15g，地震动反应谱特征周 期为0.35s，地震基本烈度为VII度。</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桃源县境内地层发育较全，从元古界冷家溪群至新生界第四系均有出露。地层以碳酸类和碎屑 崦类的沉积为主，而火成岩极不发育，矿产以沉积矿床为主，低温热液矿床为次，其资源极为丰富。</w:t>
      </w:r>
    </w:p>
    <w:p>
      <w:pPr>
        <w:spacing w:line="540" w:lineRule="exact"/>
        <w:rPr>
          <w:rFonts w:ascii="黑体" w:hAnsi="黑体" w:eastAsia="黑体" w:cs="黑体"/>
          <w:b/>
          <w:bCs/>
          <w:sz w:val="28"/>
          <w:szCs w:val="28"/>
        </w:rPr>
      </w:pPr>
      <w:r>
        <w:rPr>
          <w:rFonts w:hint="eastAsia" w:ascii="黑体" w:hAnsi="黑体" w:eastAsia="黑体" w:cs="黑体"/>
          <w:b/>
          <w:bCs/>
          <w:sz w:val="28"/>
          <w:szCs w:val="28"/>
        </w:rPr>
        <w:t>2.2.2  水文水系</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桃源县地处沅水流城下游，境内河库交错融汇，水资源丰富。沅江是县域内的主要河流，沅水 自西向东穿境而过，呈缺口朝北的“C”字形，在县境内长99公里，落差15米，年平均流量2080立方米/秒。县域内有大小河流48条，其中以县城为界以南有夷望溪、大杨溪、澄溪、水溪等，以北有白洋河、陬溪、延溪、仙人溪、大洑溪、小洑溪等。水系以沅水干流为界，分为南北两部分， 南部河流发源于雪峰山脉，河床坡度陡，落差大，北部河流发源于武陵山脉，流经丘陵和平原地区。 桃源县城区内主要纳污水体为新河，将县城区分为南北两部分，新河为沅水支流，其年均流量约</w:t>
      </w:r>
    </w:p>
    <w:p>
      <w:pPr>
        <w:spacing w:line="54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11m/s，河宽50-80m，河深2m。 </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全县水资源总量439亿立方米，水能蕴藏量巨大。沅水桃源水文站历年平均水位为36.6米，最高水位为46.9米，最低水位30.07米。最大流量29000立方米/秒，最小流量184立方米/秒，河床主要为细砂、卵石，约占整个河床的95%以上，两岸为冲积砂壤土。沅水河段及各支流下游两岸，地 势较低，多冲积平原。全境岗地、平原占总面积的22.49%，丘陵占40.15%，山地占35.99%，余为沅 水干流水面。其土质，红壤居多，水稻土次之，还有黄壤、紫砂土等。</w:t>
      </w:r>
    </w:p>
    <w:p>
      <w:pPr>
        <w:spacing w:line="360" w:lineRule="auto"/>
        <w:rPr>
          <w:rFonts w:asciiTheme="majorEastAsia" w:hAnsiTheme="majorEastAsia" w:eastAsiaTheme="majorEastAsia" w:cstheme="majorEastAsia"/>
          <w:sz w:val="22"/>
          <w:szCs w:val="22"/>
        </w:rPr>
      </w:pPr>
    </w:p>
    <w:p>
      <w:pPr>
        <w:spacing w:line="540" w:lineRule="exact"/>
        <w:rPr>
          <w:rFonts w:ascii="黑体" w:hAnsi="黑体" w:eastAsia="黑体" w:cs="黑体"/>
          <w:b/>
          <w:bCs/>
          <w:sz w:val="28"/>
          <w:szCs w:val="28"/>
        </w:rPr>
      </w:pPr>
      <w:r>
        <w:rPr>
          <w:rFonts w:hint="eastAsia" w:ascii="黑体" w:hAnsi="黑体" w:eastAsia="黑体" w:cs="黑体"/>
          <w:b/>
          <w:bCs/>
          <w:sz w:val="28"/>
          <w:szCs w:val="28"/>
        </w:rPr>
        <w:t>2.2.3  气候条件</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桃源县域为中亚热带向北亚热带过渡地段，属中亚热带季风气候。气候特点是冷热四季分明， 干湿两季明显，多年平均气温为16.5℃。年平均气温分布除南部和西北部山区低于16℃之外，其余 均在16.0-16.5℃之间。月平均气温以1月最低，为4.5℃，7月最高，为28.5℃，3-10月皆在10℃以 上。县域位于雪峰山北端以安化县为中心的多雨区边缘，雨量由南向北递减。年平均降水量为1437 毫米，年平均相对湿度为82%。年日照时数1529小时，年平均日照率为5%。</w:t>
      </w:r>
    </w:p>
    <w:p>
      <w:pPr>
        <w:spacing w:line="540" w:lineRule="exact"/>
        <w:rPr>
          <w:rFonts w:ascii="黑体" w:hAnsi="黑体" w:eastAsia="黑体" w:cs="黑体"/>
          <w:b/>
          <w:bCs/>
          <w:sz w:val="28"/>
          <w:szCs w:val="28"/>
        </w:rPr>
      </w:pPr>
      <w:r>
        <w:rPr>
          <w:rFonts w:hint="eastAsia" w:ascii="黑体" w:hAnsi="黑体" w:eastAsia="黑体" w:cs="黑体"/>
          <w:b/>
          <w:bCs/>
          <w:sz w:val="28"/>
          <w:szCs w:val="28"/>
        </w:rPr>
        <w:t>2.2.4  植被覆盖</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桃源植被类型分为常绿阔叶林、落叶常绿阔叶混交林、针叶林、竹林、灌丛、草丛、经济林七 个群系型组。主要植被为马尾松、枫香、湖南椴树、山槐、白栎、油茶等。境内有乌云界国家级自 然保护区、沅水国家级湿地公园、望阳山省级自然保护区等生态保护区，是湖南省的重点林区县， 也是”中国竹子之乡”、”全国绿化模范县”。拥有草地52万亩，丘岗山地400万亩，森林蓄积量</w:t>
      </w:r>
    </w:p>
    <w:p>
      <w:pPr>
        <w:spacing w:line="54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300多万立方米，楠竹蓄积量5200万根，森林覆盖率达65.47%。</w:t>
      </w:r>
    </w:p>
    <w:p>
      <w:pPr>
        <w:spacing w:line="540" w:lineRule="exact"/>
        <w:rPr>
          <w:rFonts w:ascii="黑体" w:hAnsi="黑体" w:eastAsia="黑体" w:cs="黑体"/>
          <w:b/>
          <w:bCs/>
          <w:sz w:val="28"/>
          <w:szCs w:val="28"/>
        </w:rPr>
      </w:pPr>
      <w:r>
        <w:rPr>
          <w:rFonts w:hint="eastAsia" w:ascii="黑体" w:hAnsi="黑体" w:eastAsia="黑体" w:cs="黑体"/>
          <w:b/>
          <w:bCs/>
          <w:sz w:val="28"/>
          <w:szCs w:val="28"/>
        </w:rPr>
        <w:t>2.2.5  土壤特征</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桃源县土壤垂直分布，具有明显的由红壤经黄红壤向黄壤过渡的特点。土壤以红壤为主，主要分布在海拔 650 米以下，其中海拔 500-650米为黄红壤亚类；650  米以上为山地黄壤。县内土壤分为地带性土壤、非地带性土壤。地带性土壤包括山地黄棕壤、山地黄壤和红壤，非地带性土壤包括紫色土、石灰土、潮沙泥土和水稻土。境内成土母岩以板页岩为主，其次为紫色砂岩、石灰岩砂砾岩。</w:t>
      </w:r>
    </w:p>
    <w:p>
      <w:pPr>
        <w:spacing w:line="540" w:lineRule="exact"/>
        <w:rPr>
          <w:rFonts w:ascii="黑体" w:hAnsi="黑体" w:eastAsia="黑体" w:cs="黑体"/>
          <w:b/>
          <w:bCs/>
          <w:sz w:val="28"/>
          <w:szCs w:val="28"/>
        </w:rPr>
      </w:pPr>
      <w:r>
        <w:rPr>
          <w:rFonts w:hint="eastAsia" w:ascii="黑体" w:hAnsi="黑体" w:eastAsia="黑体" w:cs="黑体"/>
          <w:b/>
          <w:bCs/>
          <w:sz w:val="28"/>
          <w:szCs w:val="28"/>
        </w:rPr>
        <w:t>2.2.6  自然资源</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桃源土肥水美，物产丰饶。不仅是盛产水稻、棉花、湘莲、花生、芝麻、西瓜的鱼米之乡，又是盛产梨、李、柑桔、枇杷、板栗、葡萄、猕猴桃、柰李、水蜜桃的植物园；不仅有桃源黑猪、桃 源大种鸡、湘西黄牛闻名遐迩，还有华南虎、果子狸、猴鹰、娃娃鱼等数十种珍奇野生动物；不仅 有玉雕工艺品、桃花石雕系列产品名扬海内外。桃源石材资源丰富，所产大理石、辉绿石、玛瑙石 驰名中外，人民大会堂湖南厅就是采用桃源的虎皮黄大理石板材装饰的。还有桂花糖、大叶茶、乌</w:t>
      </w:r>
    </w:p>
    <w:p>
      <w:pPr>
        <w:spacing w:line="54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云毛尖，“福尔君”天然植物油等名优特产。县内有树种、草木植物1200余种。桃林落英缤纷，楠</w:t>
      </w:r>
    </w:p>
    <w:p>
      <w:pPr>
        <w:spacing w:line="54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竹飞翠吐绿，银杏树、红柄木犀、松杉等珍贵树木遍及全县，一年四季郁郁葱葱。 桃源有储量丰富的金刚石、黄金、铜、铅、锌、石灰石、桃花石、重晶石等 27 种矿产资源。</w:t>
      </w:r>
    </w:p>
    <w:p>
      <w:pPr>
        <w:spacing w:line="540" w:lineRule="exact"/>
        <w:rPr>
          <w:rFonts w:ascii="黑体" w:hAnsi="黑体" w:eastAsia="黑体" w:cs="黑体"/>
          <w:b/>
          <w:bCs/>
          <w:sz w:val="30"/>
          <w:szCs w:val="30"/>
        </w:rPr>
      </w:pPr>
      <w:r>
        <w:rPr>
          <w:rFonts w:hint="eastAsia" w:ascii="黑体" w:hAnsi="黑体" w:eastAsia="黑体" w:cs="黑体"/>
          <w:b/>
          <w:bCs/>
          <w:sz w:val="30"/>
          <w:szCs w:val="30"/>
        </w:rPr>
        <w:t>2.3  社会经济状况</w:t>
      </w:r>
    </w:p>
    <w:p>
      <w:pPr>
        <w:spacing w:line="540" w:lineRule="exact"/>
        <w:rPr>
          <w:rFonts w:ascii="黑体" w:hAnsi="黑体" w:eastAsia="黑体" w:cs="黑体"/>
          <w:b/>
          <w:bCs/>
          <w:sz w:val="28"/>
          <w:szCs w:val="28"/>
        </w:rPr>
      </w:pPr>
      <w:r>
        <w:rPr>
          <w:rFonts w:hint="eastAsia" w:ascii="黑体" w:hAnsi="黑体" w:eastAsia="黑体" w:cs="黑体"/>
          <w:b/>
          <w:bCs/>
          <w:sz w:val="28"/>
          <w:szCs w:val="28"/>
        </w:rPr>
        <w:t>2.3.1  行政区划</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截至2019年，桃源县辖2个街道、22个镇、4个乡：漳江街道、浔阳街道、陬市镇、盘塘镇、热市镇、黄石镇、漆河镇、理公港镇、观音寺镇、龙潭镇、三阳港镇、剪市镇、茶庵铺镇、西安镇、 沙坪镇、架桥镇、马鬃岭镇、夷望溪镇、双溪口镇、九溪镇、牛车河镇、杨溪桥镇、郑家驿镇、木 塘垸镇、青林回族维吾尔族乡（青林乡）、枫树维吾尔族回族乡（枫树乡）、佘家坪乡、泥窝潭乡， 县政府驻漳江街道。行政村（居）共计 413个，其中已规划全部纳入城镇污水处理厂的行政村（居） 为54个，拟治理的行政村（居）为359个，农村人口704677人，户数220731户。</w:t>
      </w:r>
    </w:p>
    <w:p>
      <w:pPr>
        <w:spacing w:line="540" w:lineRule="exact"/>
        <w:jc w:val="center"/>
        <w:rPr>
          <w:rFonts w:asciiTheme="majorEastAsia" w:hAnsiTheme="majorEastAsia" w:eastAsiaTheme="majorEastAsia" w:cstheme="majorEastAsia"/>
          <w:sz w:val="22"/>
          <w:szCs w:val="22"/>
        </w:rPr>
      </w:pPr>
      <w:r>
        <w:rPr>
          <w:rFonts w:hint="eastAsia" w:ascii="黑体" w:hAnsi="黑体" w:eastAsia="黑体" w:cs="黑体"/>
          <w:sz w:val="22"/>
          <w:szCs w:val="22"/>
        </w:rPr>
        <w:t>表 2-1 桃源县各乡镇、村居范围</w:t>
      </w:r>
    </w:p>
    <w:tbl>
      <w:tblPr>
        <w:tblStyle w:val="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106"/>
        <w:gridCol w:w="881"/>
        <w:gridCol w:w="713"/>
        <w:gridCol w:w="3506"/>
        <w:gridCol w:w="656"/>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106"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乡镇街道</w:t>
            </w:r>
          </w:p>
        </w:tc>
        <w:tc>
          <w:tcPr>
            <w:tcW w:w="881"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个数</w:t>
            </w:r>
          </w:p>
        </w:tc>
        <w:tc>
          <w:tcPr>
            <w:tcW w:w="713"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村委</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会数</w:t>
            </w:r>
          </w:p>
        </w:tc>
        <w:tc>
          <w:tcPr>
            <w:tcW w:w="3506"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村委会名单</w:t>
            </w:r>
          </w:p>
        </w:tc>
        <w:tc>
          <w:tcPr>
            <w:tcW w:w="656"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居委</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会数</w:t>
            </w:r>
          </w:p>
        </w:tc>
        <w:tc>
          <w:tcPr>
            <w:tcW w:w="2077"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社区居民委会</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0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浔阳街道</w:t>
            </w:r>
          </w:p>
        </w:tc>
        <w:tc>
          <w:tcPr>
            <w:tcW w:w="88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71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350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铁船堰、箓萝坪、福庆山、绿溪口、丰禾、镇江渡、仙石、教仁、大平、廻峰</w:t>
            </w:r>
          </w:p>
        </w:tc>
        <w:tc>
          <w:tcPr>
            <w:tcW w:w="65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20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万寿桥、二里岗、莲花湖、洞庭宫、天子岗、尧河、八字路、 梅溪桥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10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漳江街道</w:t>
            </w:r>
          </w:p>
        </w:tc>
        <w:tc>
          <w:tcPr>
            <w:tcW w:w="88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w:t>
            </w:r>
          </w:p>
        </w:tc>
        <w:tc>
          <w:tcPr>
            <w:tcW w:w="71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350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金雁、金凤、云台、金旺、 和谐、 高桥、高岩、胜利、富强、高湖、延泉、海螺山、均田坪</w:t>
            </w:r>
          </w:p>
        </w:tc>
        <w:tc>
          <w:tcPr>
            <w:tcW w:w="65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20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桐木港、交岩、官家坪、白佛阁、渔父祠、黄花井、文星园、西苑、纺城路、漳江阁、文昌阁、楚旺、观音巷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10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陬市镇</w:t>
            </w:r>
          </w:p>
        </w:tc>
        <w:tc>
          <w:tcPr>
            <w:tcW w:w="88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71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350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小马山、高湾、观音桥、长乐、畲田、神仙桥、青龙、福德山、酒铺岗、三里铺、新茶庵、团结路、鸬鹚洲</w:t>
            </w:r>
          </w:p>
        </w:tc>
        <w:tc>
          <w:tcPr>
            <w:tcW w:w="65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20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兴盛街、下街、解放街 、李家洲、洋洲、 万家嘴、上街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10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漆河镇</w:t>
            </w:r>
          </w:p>
        </w:tc>
        <w:tc>
          <w:tcPr>
            <w:tcW w:w="88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w:t>
            </w:r>
          </w:p>
        </w:tc>
        <w:tc>
          <w:tcPr>
            <w:tcW w:w="71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w:t>
            </w:r>
          </w:p>
        </w:tc>
        <w:tc>
          <w:tcPr>
            <w:tcW w:w="350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铁佛寺、华岩河、汉宫庙、石板坪、八房坪、天宝 山、聚宝山、黄婆店、夺旗山、玉皇坪、勒马山、 灵岩寺、街头坪、长寿寺、杨家庄、曙光、列桥、 吕家、涌泉、龙昌、枫岭、乾元、重阳</w:t>
            </w:r>
          </w:p>
        </w:tc>
        <w:tc>
          <w:tcPr>
            <w:tcW w:w="65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20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仙人山、仙鹤路、黄甲铺、长寿街、兴隆祠</w:t>
            </w:r>
          </w:p>
        </w:tc>
      </w:tr>
    </w:tbl>
    <w:p>
      <w:pPr>
        <w:rPr>
          <w:rFonts w:asciiTheme="majorEastAsia" w:hAnsiTheme="majorEastAsia" w:eastAsiaTheme="majorEastAsia" w:cstheme="majorEastAsia"/>
          <w:sz w:val="18"/>
          <w:szCs w:val="18"/>
        </w:rPr>
      </w:pPr>
    </w:p>
    <w:tbl>
      <w:tblPr>
        <w:tblStyle w:val="6"/>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83"/>
        <w:gridCol w:w="900"/>
        <w:gridCol w:w="705"/>
        <w:gridCol w:w="4320"/>
        <w:gridCol w:w="72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983"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乡镇街道</w:t>
            </w:r>
          </w:p>
        </w:tc>
        <w:tc>
          <w:tcPr>
            <w:tcW w:w="90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个数</w:t>
            </w:r>
          </w:p>
        </w:tc>
        <w:tc>
          <w:tcPr>
            <w:tcW w:w="705"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村委</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会数</w:t>
            </w:r>
          </w:p>
        </w:tc>
        <w:tc>
          <w:tcPr>
            <w:tcW w:w="432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村委会名单</w:t>
            </w:r>
          </w:p>
        </w:tc>
        <w:tc>
          <w:tcPr>
            <w:tcW w:w="72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居委</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会数</w:t>
            </w:r>
          </w:p>
        </w:tc>
        <w:tc>
          <w:tcPr>
            <w:tcW w:w="150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社区居民委会</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沙坪</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沙坪、金明、西溪、红官、兰坪、乌云界、竹山、湖湘坪、赛阳、向阳、新跃、太平、老屋棚 </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万寿宫、芦荟、大兴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三阳港镇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三阳港、袁家坪、茅叶寺、白栗坪、沙坡境、土黄坪、花山洞、跑马岭、向家坪、九庄墙、黄柏山</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中心、新湖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黄石镇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黄安村、 杨柳 、东山、 桃花井、 新铺、 芭茅洲、 茶源、 香山、 大谷、观音洞、 花园、 新桥、新湾</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和平、万寿、金洪、凉井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西安镇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东安、桥塘、西安、大水田、杨柳山、磨子坪、大池塘、白洋坪、薛家冲、桃安</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闵家坪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理公港镇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殷家坪、城关、千丈河、陈家塔、杜坪、陈家界、 八斗丘、张家山、交界、黄家坪、金鸡山、小河口、 杨公桥、狮子坪、观音垭</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兰溪、青年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龙潭镇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枣儿垭、翠峰、落家坪、梨树垭、同观山、鄢家溪、小洑溪、梁皇殿、黄伞坡、丁家坊、仙花山、杜家坊、东风</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龙潭、龙中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剪市镇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喜雨、 沙萝、 双龙、狮子殿、八公桥、 十字路、 玉皇殿</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中巷口、剪家溪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茶庵铺镇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木旺溪、成功坪、六家冲、湖塘、小桃源、铁山溪、 茶庵铺、 新店驿、古溶溪、长板铺、三元潭、松阳坪、李梓溪、七里冲 黄鹿坪、尚寺坪</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桥东、太平铺、桥西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盘塘镇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莲蓬岗、朱家港、董家坪、青草岗、黄叶岗、常青、 红岩山</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盘龙桥、回龙庵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热市镇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凤鸣、彰善、云盘山、永凤、马家堰、莒蒲、山河、 白鹤、 戈尔潭、龙家嘴、荣禄、大田、桃子、太平寺、夏家峪、会同、温泉、明月、郭家垭、 刘坪、 岩桥坪、和平、天会、暴家</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棠梨岗、郝仙坪、热水坑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观音寺镇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东阳溪、李家坪、曾家河、道山头、野猪溪、万阳山、会人溪 汤田界、燕家坪、羊楼坪、马宗岭、杨家溪、舒溪、大洑溪、桃儿堉、高都驿</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长潭坪、姚家坪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马鬃岭镇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兴街、木槎桥、理鸣、刘炎、三口堰、兴庵、平安</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马鬃岭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架桥镇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叶家坡、茶林、挖断岗、先锋、翰林、黄龙、栖风山、祠堂、 朝阳、马路</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架桥、东门桥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98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夷望溪镇</w:t>
            </w:r>
          </w:p>
        </w:tc>
        <w:tc>
          <w:tcPr>
            <w:tcW w:w="9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43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岩巴嘴、红鹤、桂竹园、牧马口、仙人溪、竹园、夷望溪、大同、龙潭溪、简家溪、 大樟树、 松林</w:t>
            </w:r>
          </w:p>
        </w:tc>
        <w:tc>
          <w:tcPr>
            <w:tcW w:w="72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5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凌津滩、马石、兴隆一甲城</w:t>
            </w:r>
          </w:p>
        </w:tc>
      </w:tr>
    </w:tbl>
    <w:tbl>
      <w:tblPr>
        <w:tblStyle w:val="6"/>
        <w:tblpPr w:leftFromText="180" w:rightFromText="180" w:vertAnchor="text" w:horzAnchor="page" w:tblpX="1358" w:tblpYSpec="center"/>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95"/>
        <w:gridCol w:w="870"/>
        <w:gridCol w:w="705"/>
        <w:gridCol w:w="3960"/>
        <w:gridCol w:w="75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095"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乡镇街道</w:t>
            </w:r>
          </w:p>
        </w:tc>
        <w:tc>
          <w:tcPr>
            <w:tcW w:w="87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个数</w:t>
            </w:r>
          </w:p>
        </w:tc>
        <w:tc>
          <w:tcPr>
            <w:tcW w:w="705"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村委</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会数</w:t>
            </w:r>
          </w:p>
        </w:tc>
        <w:tc>
          <w:tcPr>
            <w:tcW w:w="396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村委会名单</w:t>
            </w:r>
          </w:p>
        </w:tc>
        <w:tc>
          <w:tcPr>
            <w:tcW w:w="75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居委</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会数</w:t>
            </w:r>
          </w:p>
        </w:tc>
        <w:tc>
          <w:tcPr>
            <w:tcW w:w="1548"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社区居民委会</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双溪口镇</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烽火岗、龙珠山、东阳山、先锋、金紫山、幸福岗、一字山、杨家坪、洞湾 </w:t>
            </w:r>
          </w:p>
        </w:tc>
        <w:tc>
          <w:tcPr>
            <w:tcW w:w="7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4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黄龙、复兴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九溪镇</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凉桥、兴龙、青华、土金、官坪、板桥、笔架、六一阁、围坪、正气、孙家河、白岩</w:t>
            </w:r>
          </w:p>
        </w:tc>
        <w:tc>
          <w:tcPr>
            <w:tcW w:w="7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54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九溪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牛车河镇</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三龙、三红、大庄坪、北斗溪、汤家溪、毛坪、毛公坝、马路坪、唐家坪、殷家桥</w:t>
            </w:r>
          </w:p>
        </w:tc>
        <w:tc>
          <w:tcPr>
            <w:tcW w:w="7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4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丁家坪、柿子坪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杨溪桥镇</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朝阳庵、羯羊铺、铁山溪、沙堤、江里溪、岩吾溪、黄泥田、落马洞、牯牛山、十八登、煌山、蔡家塘</w:t>
            </w:r>
          </w:p>
        </w:tc>
        <w:tc>
          <w:tcPr>
            <w:tcW w:w="7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4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杨溪桥、冷家溪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郑家驿镇</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澄溪桥、三阳桥、麦家、高岩、五里、常吉、新石、 郑家河、游鹿溪、梨子岗、鲜花、青铜溪</w:t>
            </w:r>
          </w:p>
        </w:tc>
        <w:tc>
          <w:tcPr>
            <w:tcW w:w="7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4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郑家驿 寺坪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木塘垸镇</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金山、湖田、仁丰、马鞍坡、孙家河</w:t>
            </w:r>
          </w:p>
        </w:tc>
        <w:tc>
          <w:tcPr>
            <w:tcW w:w="7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54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正洪、庆兰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青林乡</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青林、 金堰、 采菱、 三岗、 白洋河、 督粮冲、 姜岩、 龙潭桥、九龙山、老官坪、浯溪河、明月山、 莫南回维</w:t>
            </w:r>
          </w:p>
        </w:tc>
        <w:tc>
          <w:tcPr>
            <w:tcW w:w="750" w:type="dxa"/>
            <w:vAlign w:val="center"/>
          </w:tcPr>
          <w:p>
            <w:pPr>
              <w:jc w:val="center"/>
              <w:rPr>
                <w:rFonts w:asciiTheme="majorEastAsia" w:hAnsiTheme="majorEastAsia" w:eastAsiaTheme="majorEastAsia" w:cstheme="majorEastAsia"/>
                <w:szCs w:val="21"/>
              </w:rPr>
            </w:pPr>
          </w:p>
        </w:tc>
        <w:tc>
          <w:tcPr>
            <w:tcW w:w="1548" w:type="dxa"/>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枫树乡</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大马山、万福新、白洋河、红旗、金凤桥、田河坝、 维回、庄家桥、丰渡嘴、金鸡、苏家堆、桐岭</w:t>
            </w:r>
          </w:p>
        </w:tc>
        <w:tc>
          <w:tcPr>
            <w:tcW w:w="750" w:type="dxa"/>
            <w:vAlign w:val="center"/>
          </w:tcPr>
          <w:p>
            <w:pPr>
              <w:jc w:val="center"/>
              <w:rPr>
                <w:rFonts w:asciiTheme="majorEastAsia" w:hAnsiTheme="majorEastAsia" w:eastAsiaTheme="majorEastAsia" w:cstheme="majorEastAsia"/>
                <w:szCs w:val="21"/>
              </w:rPr>
            </w:pPr>
          </w:p>
        </w:tc>
        <w:tc>
          <w:tcPr>
            <w:tcW w:w="1548" w:type="dxa"/>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佘家坪乡</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前山桥、赫曦峪、龙阳坪、三圣殿、东岳殿、龙潮寺、雷峰山、新港、南岳殿</w:t>
            </w:r>
          </w:p>
        </w:tc>
        <w:tc>
          <w:tcPr>
            <w:tcW w:w="750" w:type="dxa"/>
            <w:vAlign w:val="center"/>
          </w:tcPr>
          <w:p>
            <w:pPr>
              <w:jc w:val="center"/>
              <w:rPr>
                <w:rFonts w:asciiTheme="majorEastAsia" w:hAnsiTheme="majorEastAsia" w:eastAsiaTheme="majorEastAsia" w:cstheme="majorEastAsia"/>
                <w:szCs w:val="21"/>
              </w:rPr>
            </w:pPr>
          </w:p>
        </w:tc>
        <w:tc>
          <w:tcPr>
            <w:tcW w:w="1548" w:type="dxa"/>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w:t>
            </w:r>
          </w:p>
        </w:tc>
        <w:tc>
          <w:tcPr>
            <w:tcW w:w="109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泥窝潭乡</w:t>
            </w:r>
          </w:p>
        </w:tc>
        <w:tc>
          <w:tcPr>
            <w:tcW w:w="8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70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396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燕岩庙、牛车磴、岩溪寺、青龙山、官宦坪、古岩靖、枫树坪、灵雨寺、五马寨</w:t>
            </w:r>
          </w:p>
        </w:tc>
        <w:tc>
          <w:tcPr>
            <w:tcW w:w="750" w:type="dxa"/>
            <w:vAlign w:val="center"/>
          </w:tcPr>
          <w:p>
            <w:pPr>
              <w:jc w:val="center"/>
              <w:rPr>
                <w:rFonts w:asciiTheme="majorEastAsia" w:hAnsiTheme="majorEastAsia" w:eastAsiaTheme="majorEastAsia" w:cstheme="majorEastAsia"/>
                <w:szCs w:val="21"/>
              </w:rPr>
            </w:pPr>
          </w:p>
        </w:tc>
        <w:tc>
          <w:tcPr>
            <w:tcW w:w="1548" w:type="dxa"/>
            <w:vAlign w:val="center"/>
          </w:tcPr>
          <w:p>
            <w:pPr>
              <w:jc w:val="center"/>
              <w:rPr>
                <w:rFonts w:asciiTheme="majorEastAsia" w:hAnsiTheme="majorEastAsia" w:eastAsiaTheme="majorEastAsia" w:cstheme="majorEastAsia"/>
                <w:szCs w:val="21"/>
              </w:rPr>
            </w:pPr>
          </w:p>
        </w:tc>
      </w:tr>
    </w:tbl>
    <w:p>
      <w:pPr>
        <w:spacing w:line="540" w:lineRule="exact"/>
        <w:rPr>
          <w:rFonts w:ascii="黑体" w:hAnsi="黑体" w:eastAsia="黑体" w:cs="黑体"/>
          <w:b/>
          <w:bCs/>
          <w:sz w:val="28"/>
          <w:szCs w:val="28"/>
        </w:rPr>
      </w:pPr>
    </w:p>
    <w:p>
      <w:pPr>
        <w:spacing w:line="540" w:lineRule="exact"/>
        <w:rPr>
          <w:rFonts w:ascii="黑体" w:hAnsi="黑体" w:eastAsia="黑体" w:cs="黑体"/>
          <w:b/>
          <w:bCs/>
          <w:sz w:val="28"/>
          <w:szCs w:val="28"/>
        </w:rPr>
      </w:pPr>
      <w:r>
        <w:rPr>
          <w:rFonts w:hint="eastAsia" w:ascii="黑体" w:hAnsi="黑体" w:eastAsia="黑体" w:cs="黑体"/>
          <w:b/>
          <w:bCs/>
          <w:sz w:val="28"/>
          <w:szCs w:val="28"/>
        </w:rPr>
        <w:t>2.3.2  农村人口分布与密度</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截至2018年末，桃源县户籍总人口（公安数、自然年度）为930283人，人口密度为220人/平方 公里。其中城镇人口225606人、农村人口704677人。全县男性人口478424人，女性人口451859人，人口自然增长率为-1.08‰。年末常住人口82.1万人，其中城镇人口35.32万人、农村人口46.78万人；城镇化率为41.90%。乡镇人口基本情况详见下表。</w:t>
      </w:r>
    </w:p>
    <w:p>
      <w:pPr>
        <w:spacing w:line="540" w:lineRule="exact"/>
        <w:jc w:val="center"/>
        <w:rPr>
          <w:rFonts w:ascii="黑体" w:hAnsi="黑体" w:eastAsia="黑体" w:cs="黑体"/>
          <w:sz w:val="22"/>
          <w:szCs w:val="22"/>
        </w:rPr>
      </w:pPr>
      <w:r>
        <w:rPr>
          <w:rFonts w:hint="eastAsia" w:ascii="黑体" w:hAnsi="黑体" w:eastAsia="黑体" w:cs="黑体"/>
          <w:sz w:val="22"/>
          <w:szCs w:val="22"/>
        </w:rPr>
        <w:t>表 2-2 桃源县各乡镇人口基本情况表</w:t>
      </w:r>
    </w:p>
    <w:tbl>
      <w:tblPr>
        <w:tblStyle w:val="6"/>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44"/>
        <w:gridCol w:w="1012"/>
        <w:gridCol w:w="994"/>
        <w:gridCol w:w="989"/>
        <w:gridCol w:w="867"/>
        <w:gridCol w:w="1088"/>
        <w:gridCol w:w="108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8"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144"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乡镇名称</w:t>
            </w:r>
          </w:p>
        </w:tc>
        <w:tc>
          <w:tcPr>
            <w:tcW w:w="1012"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年末</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总户数</w:t>
            </w:r>
          </w:p>
        </w:tc>
        <w:tc>
          <w:tcPr>
            <w:tcW w:w="994"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年末</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总人口</w:t>
            </w:r>
          </w:p>
        </w:tc>
        <w:tc>
          <w:tcPr>
            <w:tcW w:w="1856" w:type="dxa"/>
            <w:gridSpan w:val="2"/>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按性别分</w:t>
            </w:r>
          </w:p>
        </w:tc>
        <w:tc>
          <w:tcPr>
            <w:tcW w:w="2175" w:type="dxa"/>
            <w:gridSpan w:val="2"/>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按职业分</w:t>
            </w:r>
          </w:p>
        </w:tc>
        <w:tc>
          <w:tcPr>
            <w:tcW w:w="1751"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人口密度</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（人/平方公里）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8" w:type="dxa"/>
            <w:vMerge w:val="continue"/>
            <w:vAlign w:val="center"/>
          </w:tcPr>
          <w:p>
            <w:pPr>
              <w:jc w:val="center"/>
              <w:rPr>
                <w:rFonts w:ascii="黑体" w:hAnsi="黑体" w:eastAsia="黑体" w:cs="黑体"/>
                <w:szCs w:val="21"/>
              </w:rPr>
            </w:pPr>
          </w:p>
        </w:tc>
        <w:tc>
          <w:tcPr>
            <w:tcW w:w="1144" w:type="dxa"/>
            <w:vMerge w:val="continue"/>
            <w:vAlign w:val="center"/>
          </w:tcPr>
          <w:p>
            <w:pPr>
              <w:jc w:val="center"/>
              <w:rPr>
                <w:rFonts w:ascii="黑体" w:hAnsi="黑体" w:eastAsia="黑体" w:cs="黑体"/>
                <w:szCs w:val="21"/>
              </w:rPr>
            </w:pPr>
          </w:p>
        </w:tc>
        <w:tc>
          <w:tcPr>
            <w:tcW w:w="1012" w:type="dxa"/>
            <w:vMerge w:val="continue"/>
            <w:vAlign w:val="center"/>
          </w:tcPr>
          <w:p>
            <w:pPr>
              <w:jc w:val="center"/>
              <w:rPr>
                <w:rFonts w:ascii="黑体" w:hAnsi="黑体" w:eastAsia="黑体" w:cs="黑体"/>
                <w:szCs w:val="21"/>
              </w:rPr>
            </w:pPr>
          </w:p>
        </w:tc>
        <w:tc>
          <w:tcPr>
            <w:tcW w:w="994" w:type="dxa"/>
            <w:vMerge w:val="continue"/>
            <w:vAlign w:val="center"/>
          </w:tcPr>
          <w:p>
            <w:pPr>
              <w:jc w:val="center"/>
              <w:rPr>
                <w:rFonts w:ascii="黑体" w:hAnsi="黑体" w:eastAsia="黑体" w:cs="黑体"/>
                <w:szCs w:val="21"/>
              </w:rPr>
            </w:pPr>
          </w:p>
        </w:tc>
        <w:tc>
          <w:tcPr>
            <w:tcW w:w="989" w:type="dxa"/>
            <w:vAlign w:val="center"/>
          </w:tcPr>
          <w:p>
            <w:pPr>
              <w:jc w:val="center"/>
              <w:rPr>
                <w:rFonts w:ascii="黑体" w:hAnsi="黑体" w:eastAsia="黑体" w:cs="黑体"/>
                <w:b/>
                <w:bCs/>
                <w:szCs w:val="21"/>
              </w:rPr>
            </w:pPr>
            <w:r>
              <w:rPr>
                <w:rFonts w:hint="eastAsia" w:ascii="黑体" w:hAnsi="黑体" w:eastAsia="黑体" w:cs="黑体"/>
                <w:b/>
                <w:bCs/>
                <w:szCs w:val="21"/>
              </w:rPr>
              <w:t>男</w:t>
            </w:r>
          </w:p>
        </w:tc>
        <w:tc>
          <w:tcPr>
            <w:tcW w:w="867" w:type="dxa"/>
            <w:vAlign w:val="center"/>
          </w:tcPr>
          <w:p>
            <w:pPr>
              <w:jc w:val="center"/>
              <w:rPr>
                <w:rFonts w:ascii="黑体" w:hAnsi="黑体" w:eastAsia="黑体" w:cs="黑体"/>
                <w:b/>
                <w:bCs/>
                <w:szCs w:val="21"/>
              </w:rPr>
            </w:pPr>
            <w:r>
              <w:rPr>
                <w:rFonts w:hint="eastAsia" w:ascii="黑体" w:hAnsi="黑体" w:eastAsia="黑体" w:cs="黑体"/>
                <w:b/>
                <w:bCs/>
                <w:szCs w:val="21"/>
              </w:rPr>
              <w:t>女</w:t>
            </w:r>
          </w:p>
        </w:tc>
        <w:tc>
          <w:tcPr>
            <w:tcW w:w="1088" w:type="dxa"/>
            <w:vAlign w:val="center"/>
          </w:tcPr>
          <w:p>
            <w:pPr>
              <w:jc w:val="center"/>
              <w:rPr>
                <w:rFonts w:ascii="黑体" w:hAnsi="黑体" w:eastAsia="黑体" w:cs="黑体"/>
                <w:b/>
                <w:bCs/>
                <w:szCs w:val="21"/>
              </w:rPr>
            </w:pPr>
            <w:r>
              <w:rPr>
                <w:rFonts w:hint="eastAsia" w:ascii="黑体" w:hAnsi="黑体" w:eastAsia="黑体" w:cs="黑体"/>
                <w:b/>
                <w:bCs/>
                <w:szCs w:val="21"/>
              </w:rPr>
              <w:t>农村人口</w:t>
            </w:r>
          </w:p>
        </w:tc>
        <w:tc>
          <w:tcPr>
            <w:tcW w:w="1087" w:type="dxa"/>
            <w:vAlign w:val="center"/>
          </w:tcPr>
          <w:p>
            <w:pPr>
              <w:jc w:val="center"/>
              <w:rPr>
                <w:rFonts w:ascii="黑体" w:hAnsi="黑体" w:eastAsia="黑体" w:cs="黑体"/>
                <w:b/>
                <w:bCs/>
                <w:szCs w:val="21"/>
              </w:rPr>
            </w:pPr>
            <w:r>
              <w:rPr>
                <w:rFonts w:hint="eastAsia" w:ascii="黑体" w:hAnsi="黑体" w:eastAsia="黑体" w:cs="黑体"/>
                <w:b/>
                <w:bCs/>
                <w:szCs w:val="21"/>
              </w:rPr>
              <w:t>城镇人口</w:t>
            </w:r>
          </w:p>
        </w:tc>
        <w:tc>
          <w:tcPr>
            <w:tcW w:w="1751" w:type="dxa"/>
            <w:vMerge w:val="continue"/>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4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浔阳街道</w:t>
            </w:r>
          </w:p>
        </w:tc>
        <w:tc>
          <w:tcPr>
            <w:tcW w:w="101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20999</w:t>
            </w:r>
          </w:p>
        </w:tc>
        <w:tc>
          <w:tcPr>
            <w:tcW w:w="99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57134</w:t>
            </w:r>
          </w:p>
        </w:tc>
        <w:tc>
          <w:tcPr>
            <w:tcW w:w="989"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28559</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28575</w:t>
            </w:r>
          </w:p>
        </w:tc>
        <w:tc>
          <w:tcPr>
            <w:tcW w:w="108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24497</w:t>
            </w:r>
          </w:p>
        </w:tc>
        <w:tc>
          <w:tcPr>
            <w:tcW w:w="108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32637</w:t>
            </w:r>
          </w:p>
        </w:tc>
        <w:tc>
          <w:tcPr>
            <w:tcW w:w="175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523</w:t>
            </w:r>
          </w:p>
        </w:tc>
      </w:tr>
    </w:tbl>
    <w:tbl>
      <w:tblPr>
        <w:tblStyle w:val="6"/>
        <w:tblpPr w:leftFromText="180" w:rightFromText="180" w:vertAnchor="text" w:horzAnchor="page" w:tblpX="1313" w:tblpY="31"/>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2"/>
        <w:gridCol w:w="915"/>
        <w:gridCol w:w="877"/>
        <w:gridCol w:w="16"/>
        <w:gridCol w:w="969"/>
        <w:gridCol w:w="20"/>
        <w:gridCol w:w="843"/>
        <w:gridCol w:w="24"/>
        <w:gridCol w:w="1060"/>
        <w:gridCol w:w="28"/>
        <w:gridCol w:w="1055"/>
        <w:gridCol w:w="32"/>
        <w:gridCol w:w="1711"/>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64" w:hRule="atLeast"/>
        </w:trPr>
        <w:tc>
          <w:tcPr>
            <w:tcW w:w="708"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342"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乡镇名称</w:t>
            </w:r>
          </w:p>
        </w:tc>
        <w:tc>
          <w:tcPr>
            <w:tcW w:w="915"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年末</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总户数</w:t>
            </w:r>
          </w:p>
        </w:tc>
        <w:tc>
          <w:tcPr>
            <w:tcW w:w="877"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年末</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总人口</w:t>
            </w:r>
          </w:p>
        </w:tc>
        <w:tc>
          <w:tcPr>
            <w:tcW w:w="1848" w:type="dxa"/>
            <w:gridSpan w:val="4"/>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按性别分</w:t>
            </w:r>
          </w:p>
        </w:tc>
        <w:tc>
          <w:tcPr>
            <w:tcW w:w="2167" w:type="dxa"/>
            <w:gridSpan w:val="4"/>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按职业分</w:t>
            </w:r>
          </w:p>
        </w:tc>
        <w:tc>
          <w:tcPr>
            <w:tcW w:w="1743" w:type="dxa"/>
            <w:gridSpan w:val="2"/>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人口密度</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（人/平方公里）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64" w:hRule="atLeast"/>
        </w:trPr>
        <w:tc>
          <w:tcPr>
            <w:tcW w:w="708" w:type="dxa"/>
            <w:vMerge w:val="continue"/>
            <w:vAlign w:val="center"/>
          </w:tcPr>
          <w:p>
            <w:pPr>
              <w:jc w:val="center"/>
              <w:rPr>
                <w:rFonts w:ascii="黑体" w:hAnsi="黑体" w:eastAsia="黑体" w:cs="黑体"/>
                <w:szCs w:val="21"/>
              </w:rPr>
            </w:pPr>
          </w:p>
        </w:tc>
        <w:tc>
          <w:tcPr>
            <w:tcW w:w="1342" w:type="dxa"/>
            <w:vMerge w:val="continue"/>
            <w:vAlign w:val="center"/>
          </w:tcPr>
          <w:p>
            <w:pPr>
              <w:jc w:val="center"/>
              <w:rPr>
                <w:rFonts w:ascii="黑体" w:hAnsi="黑体" w:eastAsia="黑体" w:cs="黑体"/>
                <w:szCs w:val="21"/>
              </w:rPr>
            </w:pPr>
          </w:p>
        </w:tc>
        <w:tc>
          <w:tcPr>
            <w:tcW w:w="915" w:type="dxa"/>
            <w:vMerge w:val="continue"/>
            <w:vAlign w:val="center"/>
          </w:tcPr>
          <w:p>
            <w:pPr>
              <w:jc w:val="center"/>
              <w:rPr>
                <w:rFonts w:ascii="黑体" w:hAnsi="黑体" w:eastAsia="黑体" w:cs="黑体"/>
                <w:szCs w:val="21"/>
              </w:rPr>
            </w:pPr>
          </w:p>
        </w:tc>
        <w:tc>
          <w:tcPr>
            <w:tcW w:w="877" w:type="dxa"/>
            <w:vMerge w:val="continue"/>
            <w:vAlign w:val="center"/>
          </w:tcPr>
          <w:p>
            <w:pPr>
              <w:jc w:val="center"/>
              <w:rPr>
                <w:rFonts w:ascii="黑体" w:hAnsi="黑体" w:eastAsia="黑体" w:cs="黑体"/>
                <w:szCs w:val="21"/>
              </w:rPr>
            </w:pPr>
          </w:p>
        </w:tc>
        <w:tc>
          <w:tcPr>
            <w:tcW w:w="985" w:type="dxa"/>
            <w:gridSpan w:val="2"/>
            <w:vAlign w:val="center"/>
          </w:tcPr>
          <w:p>
            <w:pPr>
              <w:jc w:val="center"/>
              <w:rPr>
                <w:rFonts w:ascii="黑体" w:hAnsi="黑体" w:eastAsia="黑体" w:cs="黑体"/>
                <w:b/>
                <w:bCs/>
                <w:szCs w:val="21"/>
              </w:rPr>
            </w:pPr>
            <w:r>
              <w:rPr>
                <w:rFonts w:hint="eastAsia" w:ascii="黑体" w:hAnsi="黑体" w:eastAsia="黑体" w:cs="黑体"/>
                <w:b/>
                <w:bCs/>
                <w:szCs w:val="21"/>
              </w:rPr>
              <w:t>男</w:t>
            </w:r>
          </w:p>
        </w:tc>
        <w:tc>
          <w:tcPr>
            <w:tcW w:w="863" w:type="dxa"/>
            <w:gridSpan w:val="2"/>
            <w:vAlign w:val="center"/>
          </w:tcPr>
          <w:p>
            <w:pPr>
              <w:jc w:val="center"/>
              <w:rPr>
                <w:rFonts w:ascii="黑体" w:hAnsi="黑体" w:eastAsia="黑体" w:cs="黑体"/>
                <w:b/>
                <w:bCs/>
                <w:szCs w:val="21"/>
              </w:rPr>
            </w:pPr>
            <w:r>
              <w:rPr>
                <w:rFonts w:hint="eastAsia" w:ascii="黑体" w:hAnsi="黑体" w:eastAsia="黑体" w:cs="黑体"/>
                <w:b/>
                <w:bCs/>
                <w:szCs w:val="21"/>
              </w:rPr>
              <w:t>女</w:t>
            </w:r>
          </w:p>
        </w:tc>
        <w:tc>
          <w:tcPr>
            <w:tcW w:w="1084" w:type="dxa"/>
            <w:gridSpan w:val="2"/>
            <w:vAlign w:val="center"/>
          </w:tcPr>
          <w:p>
            <w:pPr>
              <w:jc w:val="center"/>
              <w:rPr>
                <w:rFonts w:ascii="黑体" w:hAnsi="黑体" w:eastAsia="黑体" w:cs="黑体"/>
                <w:b/>
                <w:bCs/>
                <w:szCs w:val="21"/>
              </w:rPr>
            </w:pPr>
            <w:r>
              <w:rPr>
                <w:rFonts w:hint="eastAsia" w:ascii="黑体" w:hAnsi="黑体" w:eastAsia="黑体" w:cs="黑体"/>
                <w:b/>
                <w:bCs/>
                <w:szCs w:val="21"/>
              </w:rPr>
              <w:t>农村人口</w:t>
            </w:r>
          </w:p>
        </w:tc>
        <w:tc>
          <w:tcPr>
            <w:tcW w:w="1083" w:type="dxa"/>
            <w:gridSpan w:val="2"/>
            <w:vAlign w:val="center"/>
          </w:tcPr>
          <w:p>
            <w:pPr>
              <w:jc w:val="center"/>
              <w:rPr>
                <w:rFonts w:ascii="黑体" w:hAnsi="黑体" w:eastAsia="黑体" w:cs="黑体"/>
                <w:b/>
                <w:bCs/>
                <w:szCs w:val="21"/>
              </w:rPr>
            </w:pPr>
            <w:r>
              <w:rPr>
                <w:rFonts w:hint="eastAsia" w:ascii="黑体" w:hAnsi="黑体" w:eastAsia="黑体" w:cs="黑体"/>
                <w:b/>
                <w:bCs/>
                <w:szCs w:val="21"/>
              </w:rPr>
              <w:t>城镇人口</w:t>
            </w:r>
          </w:p>
        </w:tc>
        <w:tc>
          <w:tcPr>
            <w:tcW w:w="1743" w:type="dxa"/>
            <w:gridSpan w:val="2"/>
            <w:vMerge w:val="continue"/>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漳江街道</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39398</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96926</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48710</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48216</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36253</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60673</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陬市镇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21098</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57149</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28500</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28649</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40661</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16488</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漆河镇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25074</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73343</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37800</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35543</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59693</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13650</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沙坪镇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10473</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32010</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16716</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15294</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25928</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6082</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三阳港镇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14035</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40358</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20957</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19401</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33742</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6616</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黄石镇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6865</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20697</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10840</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9857</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16045</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4652</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西安镇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4590</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15615</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8221</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7394</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14993</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622</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理公港镇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9958</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31088</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16326</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14762</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25212</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5876</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龙潭镇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9409</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27401</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14633</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12768</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22598</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4803</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剪市镇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7340</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21458</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11060</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10398</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17730</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3728</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茶庵铺镇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11649</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36087</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18674</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17413</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31530</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4557</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盘塘镇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7453</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22956</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11765</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11191</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16910</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6046</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热市镇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13718</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43023</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22290</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20733</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39764</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3259</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观音寺镇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7870</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23303</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12407</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10896</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18433</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4870</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马鬃岭镇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6942</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22308</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11441</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10867</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18918</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3390</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架桥镇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9800</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31198</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16167</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15031</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25488</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5710</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夷望溪镇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9227</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29888</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15577</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14311</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19606</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10282</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双溪口镇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7465</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24705</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12809</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11896</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18233</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6472</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九溪镇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7195</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22337</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11650</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10687</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19137</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300</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牛车河镇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4732</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13333</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6893</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6440</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9801</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3532</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杨溪桥镇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5262</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16939</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8679</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8260</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12914</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4025</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郑家驿镇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8632</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26751</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13775</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12976</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21625</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5126</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78"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木塘垸镇</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10365</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33265</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16822</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16443</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23955</w:t>
            </w:r>
          </w:p>
        </w:tc>
        <w:tc>
          <w:tcPr>
            <w:tcW w:w="108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9310</w:t>
            </w: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767"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青林回族 维吾尔族乡</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12415</w:t>
            </w:r>
          </w:p>
        </w:tc>
        <w:tc>
          <w:tcPr>
            <w:tcW w:w="87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40062</w:t>
            </w:r>
          </w:p>
        </w:tc>
        <w:tc>
          <w:tcPr>
            <w:tcW w:w="985"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20324</w:t>
            </w:r>
          </w:p>
        </w:tc>
        <w:tc>
          <w:tcPr>
            <w:tcW w:w="86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19738</w:t>
            </w:r>
          </w:p>
        </w:tc>
        <w:tc>
          <w:tcPr>
            <w:tcW w:w="1084"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40062</w:t>
            </w:r>
          </w:p>
        </w:tc>
        <w:tc>
          <w:tcPr>
            <w:tcW w:w="1083" w:type="dxa"/>
            <w:gridSpan w:val="2"/>
            <w:vAlign w:val="center"/>
          </w:tcPr>
          <w:p>
            <w:pPr>
              <w:jc w:val="center"/>
              <w:rPr>
                <w:rFonts w:asciiTheme="majorEastAsia" w:hAnsiTheme="majorEastAsia" w:eastAsiaTheme="majorEastAsia" w:cstheme="majorEastAsia"/>
                <w:szCs w:val="21"/>
              </w:rPr>
            </w:pPr>
          </w:p>
        </w:tc>
        <w:tc>
          <w:tcPr>
            <w:tcW w:w="174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8"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342"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乡镇名称</w:t>
            </w:r>
          </w:p>
        </w:tc>
        <w:tc>
          <w:tcPr>
            <w:tcW w:w="915" w:type="dxa"/>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年末</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总户数</w:t>
            </w:r>
          </w:p>
        </w:tc>
        <w:tc>
          <w:tcPr>
            <w:tcW w:w="893" w:type="dxa"/>
            <w:gridSpan w:val="2"/>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年末</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总人口</w:t>
            </w:r>
          </w:p>
        </w:tc>
        <w:tc>
          <w:tcPr>
            <w:tcW w:w="1856" w:type="dxa"/>
            <w:gridSpan w:val="4"/>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按性别分</w:t>
            </w:r>
          </w:p>
        </w:tc>
        <w:tc>
          <w:tcPr>
            <w:tcW w:w="2175" w:type="dxa"/>
            <w:gridSpan w:val="4"/>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按职业分</w:t>
            </w:r>
          </w:p>
        </w:tc>
        <w:tc>
          <w:tcPr>
            <w:tcW w:w="1751" w:type="dxa"/>
            <w:gridSpan w:val="2"/>
            <w:vMerge w:val="restart"/>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人口密度</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（人/平方公里）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8" w:type="dxa"/>
            <w:vMerge w:val="continue"/>
            <w:vAlign w:val="center"/>
          </w:tcPr>
          <w:p>
            <w:pPr>
              <w:jc w:val="center"/>
              <w:rPr>
                <w:rFonts w:ascii="黑体" w:hAnsi="黑体" w:eastAsia="黑体" w:cs="黑体"/>
                <w:szCs w:val="21"/>
              </w:rPr>
            </w:pPr>
          </w:p>
        </w:tc>
        <w:tc>
          <w:tcPr>
            <w:tcW w:w="1342" w:type="dxa"/>
            <w:vMerge w:val="continue"/>
            <w:vAlign w:val="center"/>
          </w:tcPr>
          <w:p>
            <w:pPr>
              <w:jc w:val="center"/>
              <w:rPr>
                <w:rFonts w:ascii="黑体" w:hAnsi="黑体" w:eastAsia="黑体" w:cs="黑体"/>
                <w:szCs w:val="21"/>
              </w:rPr>
            </w:pPr>
          </w:p>
        </w:tc>
        <w:tc>
          <w:tcPr>
            <w:tcW w:w="915" w:type="dxa"/>
            <w:vMerge w:val="continue"/>
            <w:vAlign w:val="center"/>
          </w:tcPr>
          <w:p>
            <w:pPr>
              <w:jc w:val="center"/>
              <w:rPr>
                <w:rFonts w:ascii="黑体" w:hAnsi="黑体" w:eastAsia="黑体" w:cs="黑体"/>
                <w:szCs w:val="21"/>
              </w:rPr>
            </w:pPr>
          </w:p>
        </w:tc>
        <w:tc>
          <w:tcPr>
            <w:tcW w:w="893" w:type="dxa"/>
            <w:gridSpan w:val="2"/>
            <w:vMerge w:val="continue"/>
            <w:vAlign w:val="center"/>
          </w:tcPr>
          <w:p>
            <w:pPr>
              <w:jc w:val="center"/>
              <w:rPr>
                <w:rFonts w:ascii="黑体" w:hAnsi="黑体" w:eastAsia="黑体" w:cs="黑体"/>
                <w:szCs w:val="21"/>
              </w:rPr>
            </w:pPr>
          </w:p>
        </w:tc>
        <w:tc>
          <w:tcPr>
            <w:tcW w:w="989" w:type="dxa"/>
            <w:gridSpan w:val="2"/>
            <w:vAlign w:val="center"/>
          </w:tcPr>
          <w:p>
            <w:pPr>
              <w:jc w:val="center"/>
              <w:rPr>
                <w:rFonts w:ascii="黑体" w:hAnsi="黑体" w:eastAsia="黑体" w:cs="黑体"/>
                <w:b/>
                <w:bCs/>
                <w:szCs w:val="21"/>
              </w:rPr>
            </w:pPr>
            <w:r>
              <w:rPr>
                <w:rFonts w:hint="eastAsia" w:ascii="黑体" w:hAnsi="黑体" w:eastAsia="黑体" w:cs="黑体"/>
                <w:b/>
                <w:bCs/>
                <w:szCs w:val="21"/>
              </w:rPr>
              <w:t>男</w:t>
            </w:r>
          </w:p>
        </w:tc>
        <w:tc>
          <w:tcPr>
            <w:tcW w:w="867" w:type="dxa"/>
            <w:gridSpan w:val="2"/>
            <w:vAlign w:val="center"/>
          </w:tcPr>
          <w:p>
            <w:pPr>
              <w:jc w:val="center"/>
              <w:rPr>
                <w:rFonts w:ascii="黑体" w:hAnsi="黑体" w:eastAsia="黑体" w:cs="黑体"/>
                <w:b/>
                <w:bCs/>
                <w:szCs w:val="21"/>
              </w:rPr>
            </w:pPr>
            <w:r>
              <w:rPr>
                <w:rFonts w:hint="eastAsia" w:ascii="黑体" w:hAnsi="黑体" w:eastAsia="黑体" w:cs="黑体"/>
                <w:b/>
                <w:bCs/>
                <w:szCs w:val="21"/>
              </w:rPr>
              <w:t>女</w:t>
            </w:r>
          </w:p>
        </w:tc>
        <w:tc>
          <w:tcPr>
            <w:tcW w:w="1088" w:type="dxa"/>
            <w:gridSpan w:val="2"/>
            <w:vAlign w:val="center"/>
          </w:tcPr>
          <w:p>
            <w:pPr>
              <w:jc w:val="center"/>
              <w:rPr>
                <w:rFonts w:ascii="黑体" w:hAnsi="黑体" w:eastAsia="黑体" w:cs="黑体"/>
                <w:b/>
                <w:bCs/>
                <w:szCs w:val="21"/>
              </w:rPr>
            </w:pPr>
            <w:r>
              <w:rPr>
                <w:rFonts w:hint="eastAsia" w:ascii="黑体" w:hAnsi="黑体" w:eastAsia="黑体" w:cs="黑体"/>
                <w:b/>
                <w:bCs/>
                <w:szCs w:val="21"/>
              </w:rPr>
              <w:t>农村人口</w:t>
            </w:r>
          </w:p>
        </w:tc>
        <w:tc>
          <w:tcPr>
            <w:tcW w:w="1087" w:type="dxa"/>
            <w:gridSpan w:val="2"/>
            <w:vAlign w:val="center"/>
          </w:tcPr>
          <w:p>
            <w:pPr>
              <w:jc w:val="center"/>
              <w:rPr>
                <w:rFonts w:ascii="黑体" w:hAnsi="黑体" w:eastAsia="黑体" w:cs="黑体"/>
                <w:b/>
                <w:bCs/>
                <w:szCs w:val="21"/>
              </w:rPr>
            </w:pPr>
            <w:r>
              <w:rPr>
                <w:rFonts w:hint="eastAsia" w:ascii="黑体" w:hAnsi="黑体" w:eastAsia="黑体" w:cs="黑体"/>
                <w:b/>
                <w:bCs/>
                <w:szCs w:val="21"/>
              </w:rPr>
              <w:t>城镇人口</w:t>
            </w:r>
          </w:p>
        </w:tc>
        <w:tc>
          <w:tcPr>
            <w:tcW w:w="1751" w:type="dxa"/>
            <w:gridSpan w:val="2"/>
            <w:vMerge w:val="continue"/>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枫树维吾尔族回族乡</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9533</w:t>
            </w:r>
          </w:p>
        </w:tc>
        <w:tc>
          <w:tcPr>
            <w:tcW w:w="89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32853</w:t>
            </w:r>
          </w:p>
        </w:tc>
        <w:tc>
          <w:tcPr>
            <w:tcW w:w="989"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16829</w:t>
            </w:r>
          </w:p>
        </w:tc>
        <w:tc>
          <w:tcPr>
            <w:tcW w:w="867"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16024</w:t>
            </w:r>
          </w:p>
        </w:tc>
        <w:tc>
          <w:tcPr>
            <w:tcW w:w="1088"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32853</w:t>
            </w:r>
          </w:p>
        </w:tc>
        <w:tc>
          <w:tcPr>
            <w:tcW w:w="1087" w:type="dxa"/>
            <w:gridSpan w:val="2"/>
            <w:vAlign w:val="center"/>
          </w:tcPr>
          <w:p>
            <w:pPr>
              <w:jc w:val="center"/>
              <w:rPr>
                <w:rFonts w:asciiTheme="majorEastAsia" w:hAnsiTheme="majorEastAsia" w:eastAsiaTheme="majorEastAsia" w:cstheme="majorEastAsia"/>
                <w:szCs w:val="21"/>
              </w:rPr>
            </w:pPr>
          </w:p>
        </w:tc>
        <w:tc>
          <w:tcPr>
            <w:tcW w:w="1751"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余家坪乡</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7348</w:t>
            </w:r>
          </w:p>
        </w:tc>
        <w:tc>
          <w:tcPr>
            <w:tcW w:w="89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20385</w:t>
            </w:r>
          </w:p>
        </w:tc>
        <w:tc>
          <w:tcPr>
            <w:tcW w:w="989"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10750</w:t>
            </w:r>
          </w:p>
        </w:tc>
        <w:tc>
          <w:tcPr>
            <w:tcW w:w="867"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9635</w:t>
            </w:r>
          </w:p>
        </w:tc>
        <w:tc>
          <w:tcPr>
            <w:tcW w:w="1088"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20385</w:t>
            </w:r>
          </w:p>
        </w:tc>
        <w:tc>
          <w:tcPr>
            <w:tcW w:w="1087" w:type="dxa"/>
            <w:gridSpan w:val="2"/>
            <w:vAlign w:val="center"/>
          </w:tcPr>
          <w:p>
            <w:pPr>
              <w:jc w:val="center"/>
              <w:rPr>
                <w:rFonts w:asciiTheme="majorEastAsia" w:hAnsiTheme="majorEastAsia" w:eastAsiaTheme="majorEastAsia" w:cstheme="majorEastAsia"/>
                <w:szCs w:val="21"/>
              </w:rPr>
            </w:pPr>
          </w:p>
        </w:tc>
        <w:tc>
          <w:tcPr>
            <w:tcW w:w="1751"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w:t>
            </w:r>
          </w:p>
        </w:tc>
        <w:tc>
          <w:tcPr>
            <w:tcW w:w="134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泥窝潭乡</w:t>
            </w:r>
          </w:p>
        </w:tc>
        <w:tc>
          <w:tcPr>
            <w:tcW w:w="91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5742</w:t>
            </w:r>
          </w:p>
        </w:tc>
        <w:tc>
          <w:tcPr>
            <w:tcW w:w="893"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17711</w:t>
            </w:r>
          </w:p>
        </w:tc>
        <w:tc>
          <w:tcPr>
            <w:tcW w:w="989"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9250</w:t>
            </w:r>
          </w:p>
        </w:tc>
        <w:tc>
          <w:tcPr>
            <w:tcW w:w="867"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8461</w:t>
            </w:r>
          </w:p>
        </w:tc>
        <w:tc>
          <w:tcPr>
            <w:tcW w:w="1088"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17711</w:t>
            </w:r>
          </w:p>
        </w:tc>
        <w:tc>
          <w:tcPr>
            <w:tcW w:w="1087" w:type="dxa"/>
            <w:gridSpan w:val="2"/>
            <w:vAlign w:val="center"/>
          </w:tcPr>
          <w:p>
            <w:pPr>
              <w:jc w:val="center"/>
              <w:rPr>
                <w:rFonts w:asciiTheme="majorEastAsia" w:hAnsiTheme="majorEastAsia" w:eastAsiaTheme="majorEastAsia" w:cstheme="majorEastAsia"/>
                <w:szCs w:val="21"/>
              </w:rPr>
            </w:pPr>
          </w:p>
        </w:tc>
        <w:tc>
          <w:tcPr>
            <w:tcW w:w="1751" w:type="dxa"/>
            <w:gridSpan w:val="2"/>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50" w:type="dxa"/>
            <w:gridSpan w:val="2"/>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合计</w:t>
            </w:r>
          </w:p>
        </w:tc>
        <w:tc>
          <w:tcPr>
            <w:tcW w:w="915"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314587</w:t>
            </w:r>
          </w:p>
        </w:tc>
        <w:tc>
          <w:tcPr>
            <w:tcW w:w="893" w:type="dxa"/>
            <w:gridSpan w:val="2"/>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930283</w:t>
            </w:r>
          </w:p>
        </w:tc>
        <w:tc>
          <w:tcPr>
            <w:tcW w:w="989" w:type="dxa"/>
            <w:gridSpan w:val="2"/>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478424</w:t>
            </w:r>
          </w:p>
        </w:tc>
        <w:tc>
          <w:tcPr>
            <w:tcW w:w="867" w:type="dxa"/>
            <w:gridSpan w:val="2"/>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451859</w:t>
            </w:r>
          </w:p>
        </w:tc>
        <w:tc>
          <w:tcPr>
            <w:tcW w:w="1088" w:type="dxa"/>
            <w:gridSpan w:val="2"/>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704677</w:t>
            </w:r>
          </w:p>
        </w:tc>
        <w:tc>
          <w:tcPr>
            <w:tcW w:w="1087" w:type="dxa"/>
            <w:gridSpan w:val="2"/>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225606</w:t>
            </w:r>
          </w:p>
        </w:tc>
        <w:tc>
          <w:tcPr>
            <w:tcW w:w="1751" w:type="dxa"/>
            <w:gridSpan w:val="2"/>
            <w:vAlign w:val="center"/>
          </w:tcPr>
          <w:p>
            <w:pPr>
              <w:jc w:val="center"/>
              <w:rPr>
                <w:rFonts w:asciiTheme="majorEastAsia" w:hAnsiTheme="majorEastAsia" w:eastAsiaTheme="majorEastAsia" w:cstheme="majorEastAsia"/>
                <w:b/>
                <w:bCs/>
                <w:szCs w:val="21"/>
              </w:rPr>
            </w:pPr>
          </w:p>
        </w:tc>
      </w:tr>
    </w:tbl>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2.3.3  产业类型</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桃源县形成了三带六园三板块的特色产业体系。</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（1）三带</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1）茶庵铺茶叶产业带：种植茶叶，拥有“野茶王”品牌，常德市重点茶叶产区。包括茶庵铺镇。</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2）马鬃岭柑橘产业带：柑桔产业，包括马鬃岭镇、双溪口镇、九溪镇。</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3）沙坪竹木产业带：种植楠竹。包括沙坪镇、杨溪桥镇、郑家驿镇。</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（2）六园</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1）陬市工业园：生物医药、农产品深加工、生态食品加工等产业。</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2）漳江工业园：轻工业园区，重点发展纺织印染、成衣制造、鞋帽制造、日用品制造、食品 加工等产业部门。</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3）创元工业园：以创元铝业为核心企业，着重发展铝材加工、高档型材、建筑材料、装潢材 料、装备制造等产业，以实现对铝业产业链的延伸。</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4）城西工业园：以农副产品加工、包装为主的工业区。</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5）热市工业园：以水泥产业为基础、新型建材为支撑的建材产业链，发展耐火砖、建筑砌块、 瓷砖、装饰砖、文化石等新型建材产业。</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6）龙潭工业园：以矿产资源开采、加工为主导的产业园区。</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（3）三板块</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三板块为中部沅江生态景观旅游板块、南部自然生态观光旅游板块和西-北部山水文化休闲旅 游板块。</w:t>
      </w:r>
    </w:p>
    <w:p>
      <w:pPr>
        <w:spacing w:line="360" w:lineRule="auto"/>
        <w:rPr>
          <w:rFonts w:ascii="黑体" w:hAnsi="黑体" w:eastAsia="黑体" w:cs="黑体"/>
          <w:b/>
          <w:bCs/>
          <w:sz w:val="28"/>
          <w:szCs w:val="28"/>
        </w:rPr>
      </w:pPr>
      <w:r>
        <w:rPr>
          <w:rFonts w:hint="eastAsia" w:ascii="黑体" w:hAnsi="黑体" w:eastAsia="黑体" w:cs="黑体"/>
          <w:b/>
          <w:bCs/>
          <w:sz w:val="28"/>
          <w:szCs w:val="28"/>
        </w:rPr>
        <w:t>2.3.4  经济指标</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2018年，桃源县完成地区生产总值3687297万元，比上年增长8.5%；其中，第一产业完成增加 值733269万元，增长3.3%；第二产业完成增加值1190291万元，增长7.9%；第三产业完成增加值1763737万元，增长11.8%。三次产业结构比由上年的21.1：32.8:46.1调整为19.9:32.3:47.8。第 一产业对GDP的贡献率为8.2%，拉动GDP增长0.7个百分点；第二产业为33.0%，拉动GDP增长2.8个百 分点；第三产业为58.8%，拉动GDP增长5.0个百分点。工业对GDP的贡献率为31.0%，拉动GDP增长2.6 个百分点。</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2018年，桃源县居民人均可支配收入19867元，同比增长9.8%；其中城镇居民人均可支配收入30021元，增长8.4%；农村居民人均可支配收入14738元，增长9.6%。城乡居民人均生活消费支出15333 元，同比增长7.4%；其中人均教育文化娱乐消费支出2502元，下降13.6%，占人均生活消费总支出 的12.6%。城镇居民人均生活消费支出22076元，增长2.1%；农村居民人均生活消费支出11927元， 增长11.2%。城镇居民人均住房面积57.8平方米，农村居民人均住房面积61.5平方米。</w:t>
      </w:r>
    </w:p>
    <w:p>
      <w:pPr>
        <w:spacing w:line="360" w:lineRule="auto"/>
        <w:rPr>
          <w:rFonts w:ascii="黑体" w:hAnsi="黑体" w:eastAsia="黑体" w:cs="黑体"/>
          <w:b/>
          <w:bCs/>
          <w:sz w:val="28"/>
          <w:szCs w:val="28"/>
        </w:rPr>
      </w:pPr>
      <w:r>
        <w:rPr>
          <w:rFonts w:hint="eastAsia" w:ascii="黑体" w:hAnsi="黑体" w:eastAsia="黑体" w:cs="黑体"/>
          <w:b/>
          <w:bCs/>
          <w:sz w:val="28"/>
          <w:szCs w:val="28"/>
        </w:rPr>
        <w:t>2.3.5  土地利用特征</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2018年，桃源县全县土地总面积666.34万亩，其中耕地面积144.59万亩，园地18.84万亩，林 地389.03万亩，草地4.28万亩，城镇村及矿工用地38.64万亩，交通运输用地9.08万亩，水域及水 利设施用地46.51万亩，其他土地15.34万亩。</w:t>
      </w:r>
    </w:p>
    <w:p>
      <w:pPr>
        <w:spacing w:line="360" w:lineRule="auto"/>
        <w:rPr>
          <w:rFonts w:ascii="黑体" w:hAnsi="黑体" w:eastAsia="黑体" w:cs="黑体"/>
          <w:b/>
          <w:bCs/>
          <w:sz w:val="28"/>
          <w:szCs w:val="28"/>
        </w:rPr>
      </w:pPr>
      <w:r>
        <w:rPr>
          <w:rFonts w:hint="eastAsia" w:ascii="黑体" w:hAnsi="黑体" w:eastAsia="黑体" w:cs="黑体"/>
          <w:b/>
          <w:bCs/>
          <w:sz w:val="28"/>
          <w:szCs w:val="28"/>
        </w:rPr>
        <w:t>2.3.6  旅游资源</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桃花源风景秀丽，名胜古迹遍布全县，旅游资源极为丰富。现已查明的旅游资源为68处：自然 旅游资源12处，其中地文景观6处，水域风光4处， 生物景观2处；人文旅游资源56种，其中古遗址1处，建筑与设施44处，旅游商品2种，人文活动9种。包括：桃花源风景名胜区、乌云界国家级自 然保护区、沅水国家级湿地公园、望阳山省级自然保护区等生态保护区，以及枫林花海国家4A级景 区，夷望溪国家3A级景区，牛车河镇三红村、毛坪村中国传统村落、热市温泉、黄石库区等。</w:t>
      </w:r>
    </w:p>
    <w:p>
      <w:pPr>
        <w:spacing w:line="360" w:lineRule="auto"/>
        <w:rPr>
          <w:rFonts w:ascii="黑体" w:hAnsi="黑体" w:eastAsia="黑体" w:cs="黑体"/>
          <w:b/>
          <w:bCs/>
          <w:sz w:val="28"/>
          <w:szCs w:val="28"/>
        </w:rPr>
      </w:pPr>
      <w:r>
        <w:rPr>
          <w:rFonts w:hint="eastAsia" w:ascii="黑体" w:hAnsi="黑体" w:eastAsia="黑体" w:cs="黑体"/>
          <w:b/>
          <w:bCs/>
          <w:sz w:val="28"/>
          <w:szCs w:val="28"/>
        </w:rPr>
        <w:t>2.3.7  农家乐及民宿</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桃源县依托优良的山水生态自然环境，休闲农庄日渐增多，目前已拥有省级五星级乡村旅游</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（区）点8个，四星级乡村旅游（区）点1个。主要分布在漳江镇、热市镇、茶庵铺镇、漆河镇、青林乡等旅游资源条件好或交通区位优势明显的乡镇。本次现场调查共统计到带餐饮的农家乐及民宿169个。</w:t>
      </w:r>
    </w:p>
    <w:p>
      <w:pPr>
        <w:spacing w:line="360" w:lineRule="auto"/>
        <w:rPr>
          <w:rFonts w:ascii="黑体" w:hAnsi="黑体" w:eastAsia="黑体" w:cs="黑体"/>
          <w:b/>
          <w:bCs/>
          <w:sz w:val="28"/>
          <w:szCs w:val="28"/>
        </w:rPr>
      </w:pPr>
      <w:r>
        <w:rPr>
          <w:rFonts w:hint="eastAsia" w:ascii="黑体" w:hAnsi="黑体" w:eastAsia="黑体" w:cs="黑体"/>
          <w:b/>
          <w:bCs/>
          <w:sz w:val="28"/>
          <w:szCs w:val="28"/>
        </w:rPr>
        <w:t>2.4  生态环境保护状况</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桃源县始终坚持“生态立县”战略，将生态创建融入经济社会发展各层面、各领域，较好的实 现了环境与经济协调发展、人与自然和谐共生。2019年桃源县被授予首批省级生态文明建设示范县 称号。</w:t>
      </w:r>
    </w:p>
    <w:p>
      <w:pPr>
        <w:spacing w:line="360" w:lineRule="auto"/>
        <w:rPr>
          <w:rFonts w:ascii="黑体" w:hAnsi="黑体" w:eastAsia="黑体" w:cs="黑体"/>
          <w:b/>
          <w:bCs/>
          <w:sz w:val="28"/>
          <w:szCs w:val="28"/>
        </w:rPr>
      </w:pPr>
      <w:r>
        <w:rPr>
          <w:rFonts w:hint="eastAsia" w:ascii="黑体" w:hAnsi="黑体" w:eastAsia="黑体" w:cs="黑体"/>
          <w:b/>
          <w:bCs/>
          <w:sz w:val="28"/>
          <w:szCs w:val="28"/>
        </w:rPr>
        <w:t>2.4.1  饮用水源地</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桃源县共划定了44处饮用水源保护区，其中市级备用水源1处（黄石水库），县级饮用水源1 处（黄潭洲），乡镇饮用水源42处。</w:t>
      </w:r>
    </w:p>
    <w:p>
      <w:pPr>
        <w:spacing w:line="360" w:lineRule="auto"/>
        <w:rPr>
          <w:rFonts w:asciiTheme="majorEastAsia" w:hAnsiTheme="majorEastAsia" w:eastAsiaTheme="majorEastAsia" w:cstheme="majorEastAsia"/>
          <w:sz w:val="22"/>
          <w:szCs w:val="22"/>
        </w:rPr>
      </w:pPr>
      <w:r>
        <w:rPr>
          <w:rFonts w:hint="eastAsia" w:ascii="黑体" w:hAnsi="黑体" w:eastAsia="黑体" w:cs="黑体"/>
          <w:b/>
          <w:bCs/>
          <w:sz w:val="28"/>
          <w:szCs w:val="28"/>
        </w:rPr>
        <w:t>2.4.2  自然保护区</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桃源县境内有乌云界国家级自然保护区、沅水国家级湿地公园、望阳山省级自然保护区等生态 保护区。</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（1）乌云界国家级自然保护区</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乌云界国家级自然保护区位于湖南省桃源县南部，地处雪峰山脉的东麓、沅水的南岸，地理位置为东经111º07’20”-111º29’20”，北纬28º30’40”-28º39’47”之间。东与常德市鼎城区相 连，南与益阳市安化县接壤，西邻桃源县太平铺乡，北与桃源县桃花源风景名胜区相望。 保护区 东西长36.0km，南北宽16.5km，总面积33818公顷，其中核心区面积16385公顷，缓冲区面积7655 公顷，实验区面积9778公顷。其中有森林面积27610公顷，森林植被覆盖率达92.5%。</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（2）沅水国家级湿地公园</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桃源沅水国家湿地公园位于桃源县城东南方向，距离县城约15公里，地理坐标：111°25’19”E—111°28’51”E，28°47’35”N—28°51’24”N，属沅江的一段。面积751.79公顷，其中湿 地面积701.64公顷，占总面积的93.33%。湿地类型为：永久性河流湿地530.62公顷，洪泛湿地171.02 公顷。以保护中华秋沙鸭为主的38种鸟类越冬栖息地为目标，是集湿地保护与修复、文化展示、科普宣教、科研监测、湿地生态旅游为一体的综合性湿地公园，沅水湿地公园上至张家湾洞洲、下至尧河渡口，规划总面积一万余亩。</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（3）望阳山省级自然保护区</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望阳山又称万阳山，位于湖南省桃源县西部观音寺镇境内，是森林生态型省级自然保护区。望阳山东西宽6035米，南北长6336米，总面积2570.46公倾，森林覆盖率92.1%。最高海拔一峰尖918.1米，属中低山地貌。</w:t>
      </w:r>
    </w:p>
    <w:p>
      <w:pPr>
        <w:spacing w:line="360" w:lineRule="auto"/>
        <w:rPr>
          <w:rFonts w:ascii="黑体" w:hAnsi="黑体" w:eastAsia="黑体" w:cs="黑体"/>
          <w:b/>
          <w:bCs/>
          <w:sz w:val="28"/>
          <w:szCs w:val="28"/>
        </w:rPr>
      </w:pPr>
      <w:r>
        <w:rPr>
          <w:rFonts w:hint="eastAsia" w:ascii="黑体" w:hAnsi="黑体" w:eastAsia="黑体" w:cs="黑体"/>
          <w:b/>
          <w:bCs/>
          <w:sz w:val="28"/>
          <w:szCs w:val="28"/>
        </w:rPr>
        <w:t>2.4.3  森林公园</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桃花源国家森林公园位于湖南省桃源县城西南部15公里，地处沅水下游。地理位置为东经</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110°25′-110°27′，北纬28°47′-28°49′。公园总面积157.55平方公里。其中“世外桃源” 主体景区15.8平方公里，“武陵人捕鱼为业”的沅水风光带水域44.85平方公里，外围保护区96.9 平方公里。主体景区包括桃花山、桃源山、秦人村、桃仙岭和灵境湖五个景区。桃花源国家森林公 园所在的桃花源镇不在本规划范围内。</w:t>
      </w:r>
    </w:p>
    <w:p>
      <w:pPr>
        <w:spacing w:line="360" w:lineRule="auto"/>
        <w:rPr>
          <w:rFonts w:ascii="黑体" w:hAnsi="黑体" w:eastAsia="黑体" w:cs="黑体"/>
          <w:b/>
          <w:bCs/>
          <w:sz w:val="28"/>
          <w:szCs w:val="28"/>
        </w:rPr>
      </w:pPr>
      <w:r>
        <w:rPr>
          <w:rFonts w:hint="eastAsia" w:ascii="黑体" w:hAnsi="黑体" w:eastAsia="黑体" w:cs="黑体"/>
          <w:b/>
          <w:bCs/>
          <w:sz w:val="28"/>
          <w:szCs w:val="28"/>
        </w:rPr>
        <w:t>2.4.4  风景名胜区</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（1）桃花源国家级风景名胜区</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花源国家级风景名胜区位于湖南省桃源县西南15公里的水溪附近，距常德市34公里。景区总面积157.55平方公里，其中世外桃源主体景区15.8平方公里，武陵人捕鱼为业的沅水风光带水域44.48平方公里，外围保护区96.9平方公里。桃花源国家级风景名胜区所在的桃花源镇不在本规划 范围内。</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（2）夷望溪国家级风景名胜区</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夷望溪位于湖南省常德市桃源县兴隆街乡夷望溪村，景色秀美、山水怡人，被称为常德的的“小</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桂林”。夷望溪发端于桃源南部西安镇，长70公里，从兴隆街乡水心岩悄然注入沅水。这条由郦道 元作注，袁宏道着色的溪流，在雪峰山脉的余脉间逶迤穿行，将两岸的山河吟唱成一条色彩绚丽的 水上画廊，形成夷望溪风光线。</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（3）枫林花海国家级风景名胜区</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枫林花海景区是国家3A级旅游景区，位于桃源县枫树维吾尔族回族乡，总占地面积1000余亩，</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是一个集花卉欣赏、亲子游乐、革命教育、研学教育为主的观光休闲景区。</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（4）乌云界花源里生态园国家级风景名胜区</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乌云界花源里生态园位于桃源县乌云界国家级自然保护区的实验区，与桃花源风景区遥相呼</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应，是具有特色观光，文化体验，户外运动，生态休闲，农耕体验，滨水度假等功能的生态旅游圣 地国家级乡村旅游优秀示范点和3A级旅游景区。</w:t>
      </w:r>
    </w:p>
    <w:p>
      <w:pPr>
        <w:spacing w:line="360" w:lineRule="auto"/>
        <w:rPr>
          <w:rFonts w:asciiTheme="majorEastAsia" w:hAnsiTheme="majorEastAsia" w:eastAsiaTheme="majorEastAsia" w:cstheme="majorEastAsia"/>
          <w:sz w:val="22"/>
          <w:szCs w:val="22"/>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2.4.5  水环境质量状况</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2019年，全县主要河流和湖库水水环境质量保持稳定。沅水观音寺、凌津滩、黄潭洲、高湾等</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4个省控断面水质均达到《地表水环境质量标准》（GB3838-2002）Ⅲ类标准或以上。黄石水库、 县城饮用水水源保护区等全县44处集中式饮用水水源地水质，均达到《地表水环境质量标准》（GB3838-2002）Ⅲ类标准。</w:t>
      </w: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第3章</w:t>
      </w:r>
      <w:r>
        <w:rPr>
          <w:rFonts w:hint="eastAsia" w:asciiTheme="majorEastAsia" w:hAnsiTheme="majorEastAsia" w:eastAsiaTheme="majorEastAsia" w:cstheme="majorEastAsia"/>
          <w:b/>
          <w:bCs/>
          <w:sz w:val="44"/>
          <w:szCs w:val="44"/>
        </w:rPr>
        <w:tab/>
      </w:r>
      <w:r>
        <w:rPr>
          <w:rFonts w:hint="eastAsia" w:asciiTheme="majorEastAsia" w:hAnsiTheme="majorEastAsia" w:eastAsiaTheme="majorEastAsia" w:cstheme="majorEastAsia"/>
          <w:b/>
          <w:bCs/>
          <w:sz w:val="44"/>
          <w:szCs w:val="44"/>
        </w:rPr>
        <w:t>污染源分析</w:t>
      </w:r>
    </w:p>
    <w:p>
      <w:pPr>
        <w:ind w:right="-20" w:firstLine="440" w:firstLineChars="200"/>
        <w:jc w:val="left"/>
        <w:rPr>
          <w:rFonts w:asciiTheme="majorEastAsia" w:hAnsiTheme="majorEastAsia" w:eastAsiaTheme="majorEastAsia" w:cstheme="majorEastAsia"/>
          <w:sz w:val="22"/>
          <w:szCs w:val="22"/>
        </w:rPr>
      </w:pPr>
    </w:p>
    <w:p>
      <w:pPr>
        <w:ind w:right="-20" w:firstLine="440" w:firstLineChars="200"/>
        <w:jc w:val="left"/>
        <w:rPr>
          <w:rFonts w:asciiTheme="majorEastAsia" w:hAnsiTheme="majorEastAsia" w:eastAsiaTheme="majorEastAsia" w:cstheme="majorEastAsia"/>
          <w:sz w:val="22"/>
          <w:szCs w:val="22"/>
        </w:rPr>
      </w:pPr>
    </w:p>
    <w:p>
      <w:pPr>
        <w:spacing w:line="560" w:lineRule="exact"/>
        <w:rPr>
          <w:rFonts w:ascii="黑体" w:hAnsi="黑体" w:eastAsia="黑体" w:cs="黑体"/>
          <w:b/>
          <w:bCs/>
          <w:sz w:val="30"/>
          <w:szCs w:val="30"/>
        </w:rPr>
      </w:pPr>
      <w:r>
        <w:rPr>
          <w:rFonts w:hint="eastAsia" w:ascii="黑体" w:hAnsi="黑体" w:eastAsia="黑体" w:cs="黑体"/>
          <w:b/>
          <w:bCs/>
          <w:sz w:val="30"/>
          <w:szCs w:val="30"/>
        </w:rPr>
        <w:t>3.1  用水情况</w:t>
      </w:r>
    </w:p>
    <w:p>
      <w:pPr>
        <w:spacing w:line="560" w:lineRule="exact"/>
        <w:rPr>
          <w:rFonts w:ascii="黑体" w:hAnsi="黑体" w:eastAsia="黑体" w:cs="黑体"/>
          <w:b/>
          <w:bCs/>
          <w:sz w:val="28"/>
          <w:szCs w:val="28"/>
        </w:rPr>
      </w:pPr>
      <w:r>
        <w:rPr>
          <w:rFonts w:hint="eastAsia" w:ascii="黑体" w:hAnsi="黑体" w:eastAsia="黑体" w:cs="黑体"/>
          <w:b/>
          <w:bCs/>
          <w:sz w:val="28"/>
          <w:szCs w:val="28"/>
        </w:rPr>
        <w:t>3.1.1 用水方式</w:t>
      </w:r>
    </w:p>
    <w:p>
      <w:pPr>
        <w:spacing w:line="56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桃源县农村生活用水来源分为自来水、井水及山泉水。整体来说桃源县农村地区近年来自来水</w:t>
      </w:r>
    </w:p>
    <w:p>
      <w:pPr>
        <w:spacing w:line="56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供水比例逐年升高，少量地区仍以井水为主，河水及山泉水供水情况占比极低。根据调查资料，桃 源县自来水服务人口覆盖率已达到78.5%。</w:t>
      </w:r>
    </w:p>
    <w:p>
      <w:pPr>
        <w:spacing w:line="560" w:lineRule="exact"/>
        <w:rPr>
          <w:rFonts w:ascii="黑体" w:hAnsi="黑体" w:eastAsia="黑体" w:cs="黑体"/>
          <w:b/>
          <w:bCs/>
          <w:sz w:val="28"/>
          <w:szCs w:val="28"/>
        </w:rPr>
      </w:pPr>
      <w:r>
        <w:rPr>
          <w:rFonts w:hint="eastAsia" w:ascii="黑体" w:hAnsi="黑体" w:eastAsia="黑体" w:cs="黑体"/>
          <w:b/>
          <w:bCs/>
          <w:sz w:val="28"/>
          <w:szCs w:val="28"/>
        </w:rPr>
        <w:t>3.1.2  用水结构</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桃源县农村居民家庭用水包括:①满足居民家庭自身生活需求的生活用水量，主要包括厨房用 水、卫生用水、冲厕用水；②家庭非生活用水。家庭最主要的用水集中在炊事、衣服洗涤和淋浴3 项上，3者共占到生活用水总量的70%，而冲厕水量占比较小，约在15%左右。</w:t>
      </w:r>
    </w:p>
    <w:p>
      <w:pPr>
        <w:spacing w:line="560" w:lineRule="exact"/>
        <w:rPr>
          <w:rFonts w:ascii="黑体" w:hAnsi="黑体" w:eastAsia="黑体" w:cs="黑体"/>
          <w:b/>
          <w:bCs/>
          <w:sz w:val="30"/>
          <w:szCs w:val="30"/>
        </w:rPr>
      </w:pPr>
      <w:r>
        <w:rPr>
          <w:rFonts w:hint="eastAsia" w:ascii="黑体" w:hAnsi="黑体" w:eastAsia="黑体" w:cs="黑体"/>
          <w:b/>
          <w:bCs/>
          <w:sz w:val="30"/>
          <w:szCs w:val="30"/>
        </w:rPr>
        <w:t>3.2  排水情况</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截止2019年，桃源县已建成县城污水处理厂、桃源县第二污水处理厂、陬市镇污水处理厂和漆 河镇污水处理厂共4座城镇污水处理厂，可收集县城城区、陬市镇和漆河镇镇区及周边部分村（居） 的生活污水。其余乡镇的城镇污水处理厂均处于在建或规划阶段，并计划于2020年建成。有排水系 统和管道的地区，除小部分经济条件较好的村镇实行雨污分流制系统外，大部分地区采用的是合流 制排水系统。</w:t>
      </w:r>
    </w:p>
    <w:p>
      <w:pPr>
        <w:spacing w:line="56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根据现场调查，项目区农村房屋主要沿河流、道路线型分布，总体上以分散分布为主。现状各 村均为雨污合流制，大部分农户的厕所和洗浴间建设在一起，且多为“黑水”与“灰水”混合排出， 高浓度的“黑水”与低浓度的“灰水”混合进入化粪池。化粪池出水一部分通过农田灌溉等方式进 行了资源化处置，大量的化粪池出水与雨水混合后通过排洪沟或道路边沟排至附近水体。</w:t>
      </w:r>
    </w:p>
    <w:p>
      <w:pPr>
        <w:spacing w:line="560" w:lineRule="exact"/>
        <w:rPr>
          <w:rFonts w:ascii="黑体" w:hAnsi="黑体" w:eastAsia="黑体" w:cs="黑体"/>
          <w:b/>
          <w:bCs/>
          <w:sz w:val="30"/>
          <w:szCs w:val="30"/>
        </w:rPr>
      </w:pPr>
      <w:r>
        <w:rPr>
          <w:rFonts w:hint="eastAsia" w:ascii="黑体" w:hAnsi="黑体" w:eastAsia="黑体" w:cs="黑体"/>
          <w:b/>
          <w:bCs/>
          <w:sz w:val="30"/>
          <w:szCs w:val="30"/>
        </w:rPr>
        <w:t>3.3  农户改厕普及情况</w:t>
      </w:r>
    </w:p>
    <w:p>
      <w:pPr>
        <w:spacing w:line="55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为全面推进农村厕所改造工作，切实改善农村生态环境与面貌，桃源县印发了《桃源县农村人居环境整治三年行动实施方案（2018—2020年）》。将传统的旱厕改造为符合要求的卫生厕所，单格、两格式化粪池改造为满足停留时间和防渗要求的三格式化粪池。到2019年底，重点完成了浔阳、 茶庵铺、漆河、热市、架桥、杨溪桥、西安、剪市、夷望溪、佘家坪等10个乡镇（环保站）33个整 建制行政村三格式厕所改造，农村卫生厕所率达到83%以上；到2020年底，全面完成厕所改造任务， 农村卫生厕所率达85%以上。截止2019年底，桃源县已完成厕改农户约3万户，8.7万人。</w:t>
      </w:r>
    </w:p>
    <w:p>
      <w:pPr>
        <w:spacing w:line="550" w:lineRule="exact"/>
        <w:rPr>
          <w:rFonts w:ascii="黑体" w:hAnsi="黑体" w:eastAsia="黑体" w:cs="黑体"/>
          <w:b/>
          <w:bCs/>
          <w:sz w:val="30"/>
          <w:szCs w:val="30"/>
        </w:rPr>
      </w:pPr>
      <w:r>
        <w:rPr>
          <w:rFonts w:hint="eastAsia" w:ascii="黑体" w:hAnsi="黑体" w:eastAsia="黑体" w:cs="黑体"/>
          <w:b/>
          <w:bCs/>
          <w:sz w:val="30"/>
          <w:szCs w:val="30"/>
        </w:rPr>
        <w:t>3.4  农村生活污水处理设施建设和运行现状</w:t>
      </w:r>
    </w:p>
    <w:p>
      <w:pPr>
        <w:spacing w:line="550" w:lineRule="exact"/>
        <w:rPr>
          <w:rFonts w:ascii="黑体" w:hAnsi="黑体" w:eastAsia="黑体" w:cs="黑体"/>
          <w:b/>
          <w:bCs/>
          <w:sz w:val="28"/>
          <w:szCs w:val="28"/>
        </w:rPr>
      </w:pPr>
      <w:r>
        <w:rPr>
          <w:rFonts w:hint="eastAsia" w:ascii="黑体" w:hAnsi="黑体" w:eastAsia="黑体" w:cs="黑体"/>
          <w:b/>
          <w:bCs/>
          <w:sz w:val="28"/>
          <w:szCs w:val="28"/>
        </w:rPr>
        <w:t>3.4.1  城镇污水收集管网及污水处理厂</w:t>
      </w:r>
    </w:p>
    <w:p>
      <w:pPr>
        <w:spacing w:line="55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桃源县已建成县城污水处理厂、桃源县第二污水处理厂、陬市镇污水处理厂和漆河镇污水处理 厂，在建的包括杨溪桥镇等12个建制镇污水处理厂，以及拟于2020年启动建设的茶庵铺镇等13个建 制镇污水处理厂。</w:t>
      </w:r>
    </w:p>
    <w:p>
      <w:pPr>
        <w:spacing w:line="55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桃源县中心城区已配套建设污水管道总长度为42.8公里，其中一级主干管为9.5公里，二级主干 管为33.3公里。乡镇排水系统不健全，排水只有部分市政管道系统，镇区排水主要依靠自然沟渠。</w:t>
      </w:r>
    </w:p>
    <w:p>
      <w:pPr>
        <w:spacing w:line="550" w:lineRule="exact"/>
        <w:rPr>
          <w:rFonts w:ascii="黑体" w:hAnsi="黑体" w:eastAsia="黑体" w:cs="黑体"/>
          <w:b/>
          <w:bCs/>
          <w:sz w:val="28"/>
          <w:szCs w:val="28"/>
        </w:rPr>
      </w:pPr>
      <w:r>
        <w:rPr>
          <w:rFonts w:hint="eastAsia" w:ascii="黑体" w:hAnsi="黑体" w:eastAsia="黑体" w:cs="黑体"/>
          <w:b/>
          <w:bCs/>
          <w:sz w:val="28"/>
          <w:szCs w:val="28"/>
        </w:rPr>
        <w:t>3.4.2  农村生活污水处理现状</w:t>
      </w:r>
    </w:p>
    <w:p>
      <w:pPr>
        <w:spacing w:line="55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桃源县已建成集中式污水处理站12座，四格式净化系统2259套，共治理农户生活污水6650户。 生活污水经治理后大多沿沟渠进入附近水体或用于农田灌溉。大部分项目区大部分农村环境基础设 施薄弱，农村生活污水大部分未经处理，面临的污水问题严重，处理压力较大。</w:t>
      </w:r>
    </w:p>
    <w:p>
      <w:pPr>
        <w:spacing w:line="550" w:lineRule="exact"/>
        <w:rPr>
          <w:rFonts w:ascii="黑体" w:hAnsi="黑体" w:eastAsia="黑体" w:cs="黑体"/>
          <w:b/>
          <w:bCs/>
          <w:sz w:val="28"/>
          <w:szCs w:val="28"/>
        </w:rPr>
      </w:pPr>
      <w:r>
        <w:rPr>
          <w:rFonts w:hint="eastAsia" w:ascii="黑体" w:hAnsi="黑体" w:eastAsia="黑体" w:cs="黑体"/>
          <w:b/>
          <w:bCs/>
          <w:sz w:val="28"/>
          <w:szCs w:val="28"/>
        </w:rPr>
        <w:t>3.4.3  治理效果</w:t>
      </w:r>
    </w:p>
    <w:p>
      <w:pPr>
        <w:spacing w:line="55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根据桃源县环境监测站对现有 20 吨以上农村生活污水处理设施的监测结果，设施出水均可以 达到《城镇污水处理厂污染物排放标准》（GB18918-2002）一级 B 标准要求。</w:t>
      </w:r>
    </w:p>
    <w:p>
      <w:pPr>
        <w:spacing w:line="550" w:lineRule="exact"/>
        <w:rPr>
          <w:rFonts w:ascii="黑体" w:hAnsi="黑体" w:eastAsia="黑体" w:cs="黑体"/>
          <w:b/>
          <w:bCs/>
          <w:sz w:val="28"/>
          <w:szCs w:val="28"/>
        </w:rPr>
      </w:pPr>
      <w:r>
        <w:rPr>
          <w:rFonts w:hint="eastAsia" w:ascii="黑体" w:hAnsi="黑体" w:eastAsia="黑体" w:cs="黑体"/>
          <w:b/>
          <w:bCs/>
          <w:sz w:val="28"/>
          <w:szCs w:val="28"/>
        </w:rPr>
        <w:t>3.4.4  运行管理</w:t>
      </w:r>
    </w:p>
    <w:p>
      <w:pPr>
        <w:spacing w:line="55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目前桃源县已建成的农村生活污水处理设施均由所属乡镇政府管理，运维资金来自于财政。根 据现场调研情况，处理设施均运行正常，运维工作基本到位，但也存在一些终端湿地植物收割不及 时、管网堵塞等问题，需要加强运维的力度。</w:t>
      </w:r>
    </w:p>
    <w:p>
      <w:pPr>
        <w:spacing w:line="540" w:lineRule="exact"/>
        <w:rPr>
          <w:rFonts w:ascii="黑体" w:hAnsi="黑体" w:eastAsia="黑体" w:cs="黑体"/>
          <w:b/>
          <w:bCs/>
          <w:sz w:val="30"/>
          <w:szCs w:val="30"/>
        </w:rPr>
      </w:pPr>
      <w:r>
        <w:rPr>
          <w:rFonts w:hint="eastAsia" w:ascii="黑体" w:hAnsi="黑体" w:eastAsia="黑体" w:cs="黑体"/>
          <w:b/>
          <w:bCs/>
          <w:sz w:val="30"/>
          <w:szCs w:val="30"/>
        </w:rPr>
        <w:t>3.5  污染负荷量预测</w:t>
      </w:r>
    </w:p>
    <w:p>
      <w:pPr>
        <w:spacing w:line="540" w:lineRule="exact"/>
        <w:rPr>
          <w:rFonts w:ascii="黑体" w:hAnsi="黑体" w:eastAsia="黑体" w:cs="黑体"/>
          <w:b/>
          <w:bCs/>
          <w:sz w:val="28"/>
          <w:szCs w:val="28"/>
        </w:rPr>
      </w:pPr>
      <w:r>
        <w:rPr>
          <w:rFonts w:hint="eastAsia" w:ascii="黑体" w:hAnsi="黑体" w:eastAsia="黑体" w:cs="黑体"/>
          <w:b/>
          <w:bCs/>
          <w:sz w:val="28"/>
          <w:szCs w:val="28"/>
        </w:rPr>
        <w:t>3.5.1  规划人口</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本规划共涉及街道及行政村共计 413个，其中已规划全部纳入城镇污水处理厂的行政村（居） 为54个，拟治理的行政村（居）为359个。总户数 314587户，总人口 930283 人，其中城镇人口225606 人、农村人口704677人。本规划采用2018年户籍人口数及户数作为规划基数，暂不考虑人口变化。</w:t>
      </w:r>
    </w:p>
    <w:p>
      <w:pPr>
        <w:spacing w:line="540" w:lineRule="exact"/>
        <w:rPr>
          <w:rFonts w:ascii="黑体" w:hAnsi="黑体" w:eastAsia="黑体" w:cs="黑体"/>
          <w:b/>
          <w:bCs/>
          <w:sz w:val="28"/>
          <w:szCs w:val="28"/>
        </w:rPr>
      </w:pPr>
      <w:r>
        <w:rPr>
          <w:rFonts w:hint="eastAsia" w:ascii="黑体" w:hAnsi="黑体" w:eastAsia="黑体" w:cs="黑体"/>
          <w:b/>
          <w:bCs/>
          <w:sz w:val="28"/>
          <w:szCs w:val="28"/>
        </w:rPr>
        <w:t>3.5.2  居民用水指标</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本规划生活用水定额参照《湖南省用水定额（DB43/T388-2014）》和《农村生活污水处理工程 技术标准》（GBT 51347-2019），并结合当地居民的用水现状、生活习惯、经济条件及供排水设施 完善程度，综合确定农村人均平均日用水量为：100L/人·d。</w:t>
      </w:r>
    </w:p>
    <w:p>
      <w:pPr>
        <w:spacing w:line="540" w:lineRule="exact"/>
        <w:rPr>
          <w:rFonts w:ascii="黑体" w:hAnsi="黑体" w:eastAsia="黑体" w:cs="黑体"/>
          <w:b/>
          <w:bCs/>
          <w:sz w:val="28"/>
          <w:szCs w:val="28"/>
        </w:rPr>
      </w:pPr>
      <w:r>
        <w:rPr>
          <w:rFonts w:hint="eastAsia" w:ascii="黑体" w:hAnsi="黑体" w:eastAsia="黑体" w:cs="黑体"/>
          <w:b/>
          <w:bCs/>
          <w:sz w:val="28"/>
          <w:szCs w:val="28"/>
        </w:rPr>
        <w:t>3.5.3  污水排放系数</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根据《农村生活污水处理工程技术标准》（GBT 51347-2019），并充分考虑建筑内部给排水设 施水平和排水系统普及程度等因素，本规划污水排放系数取 0.65。</w:t>
      </w:r>
    </w:p>
    <w:p>
      <w:pPr>
        <w:spacing w:line="540" w:lineRule="exact"/>
        <w:rPr>
          <w:rFonts w:ascii="黑体" w:hAnsi="黑体" w:eastAsia="黑体" w:cs="黑体"/>
          <w:b/>
          <w:bCs/>
          <w:sz w:val="28"/>
          <w:szCs w:val="28"/>
        </w:rPr>
      </w:pPr>
      <w:r>
        <w:rPr>
          <w:rFonts w:hint="eastAsia" w:ascii="黑体" w:hAnsi="黑体" w:eastAsia="黑体" w:cs="黑体"/>
          <w:b/>
          <w:bCs/>
          <w:sz w:val="28"/>
          <w:szCs w:val="28"/>
        </w:rPr>
        <w:t>3.5.4  污水进水水质</w:t>
      </w:r>
    </w:p>
    <w:p>
      <w:pPr>
        <w:spacing w:line="54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参考《农村生活污水处理工程技术标准》（GBT 51347-2019），根据桃源县农村人口规模、用 水现状、生活习惯，经济条件、地区规划等确定本规划污水处理设施进水水质指标。</w:t>
      </w:r>
    </w:p>
    <w:p>
      <w:pPr>
        <w:spacing w:line="360" w:lineRule="auto"/>
        <w:jc w:val="righ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表 3-1  污水处理设施进水水质参考值</w:t>
      </w:r>
      <w:r>
        <w:rPr>
          <w:rFonts w:hint="eastAsia" w:asciiTheme="majorEastAsia" w:hAnsiTheme="majorEastAsia" w:eastAsiaTheme="majorEastAsia" w:cstheme="majorEastAsia"/>
          <w:b/>
          <w:bCs/>
          <w:sz w:val="22"/>
          <w:szCs w:val="22"/>
        </w:rPr>
        <w:tab/>
      </w:r>
      <w:r>
        <w:rPr>
          <w:rFonts w:hint="eastAsia" w:asciiTheme="majorEastAsia" w:hAnsiTheme="majorEastAsia" w:eastAsiaTheme="majorEastAsia" w:cstheme="majorEastAsia"/>
          <w:b/>
          <w:bCs/>
          <w:sz w:val="22"/>
          <w:szCs w:val="22"/>
        </w:rPr>
        <w:t xml:space="preserve">    （单位：mg/L，pH值除外）</w:t>
      </w:r>
    </w:p>
    <w:tbl>
      <w:tblPr>
        <w:tblStyle w:val="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331"/>
        <w:gridCol w:w="1331"/>
        <w:gridCol w:w="1331"/>
        <w:gridCol w:w="1332"/>
        <w:gridCol w:w="133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31"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主要指标</w:t>
            </w:r>
          </w:p>
        </w:tc>
        <w:tc>
          <w:tcPr>
            <w:tcW w:w="1331"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COD</w:t>
            </w:r>
          </w:p>
        </w:tc>
        <w:tc>
          <w:tcPr>
            <w:tcW w:w="1331"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BOD</w:t>
            </w:r>
          </w:p>
        </w:tc>
        <w:tc>
          <w:tcPr>
            <w:tcW w:w="1331"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氨氮</w:t>
            </w:r>
          </w:p>
        </w:tc>
        <w:tc>
          <w:tcPr>
            <w:tcW w:w="1332"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TN</w:t>
            </w:r>
          </w:p>
        </w:tc>
        <w:tc>
          <w:tcPr>
            <w:tcW w:w="1332"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TP</w:t>
            </w:r>
          </w:p>
        </w:tc>
        <w:tc>
          <w:tcPr>
            <w:tcW w:w="1332"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3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取值</w:t>
            </w:r>
          </w:p>
        </w:tc>
        <w:tc>
          <w:tcPr>
            <w:tcW w:w="133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300</w:t>
            </w:r>
          </w:p>
        </w:tc>
        <w:tc>
          <w:tcPr>
            <w:tcW w:w="133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120</w:t>
            </w:r>
          </w:p>
        </w:tc>
        <w:tc>
          <w:tcPr>
            <w:tcW w:w="133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w:t>
            </w:r>
          </w:p>
        </w:tc>
        <w:tc>
          <w:tcPr>
            <w:tcW w:w="133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w:t>
            </w:r>
          </w:p>
        </w:tc>
        <w:tc>
          <w:tcPr>
            <w:tcW w:w="133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3.5</w:t>
            </w:r>
          </w:p>
        </w:tc>
        <w:tc>
          <w:tcPr>
            <w:tcW w:w="133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150</w:t>
            </w:r>
          </w:p>
        </w:tc>
      </w:tr>
    </w:tbl>
    <w:p>
      <w:pPr>
        <w:spacing w:line="540" w:lineRule="exact"/>
        <w:rPr>
          <w:rFonts w:ascii="黑体" w:hAnsi="黑体" w:eastAsia="黑体" w:cs="黑体"/>
          <w:b/>
          <w:bCs/>
          <w:sz w:val="28"/>
          <w:szCs w:val="28"/>
        </w:rPr>
      </w:pPr>
    </w:p>
    <w:p>
      <w:pPr>
        <w:spacing w:line="540" w:lineRule="exact"/>
        <w:rPr>
          <w:rFonts w:ascii="黑体" w:hAnsi="黑体" w:eastAsia="黑体" w:cs="黑体"/>
          <w:b/>
          <w:bCs/>
          <w:sz w:val="28"/>
          <w:szCs w:val="28"/>
        </w:rPr>
      </w:pPr>
      <w:r>
        <w:rPr>
          <w:rFonts w:hint="eastAsia" w:ascii="黑体" w:hAnsi="黑体" w:eastAsia="黑体" w:cs="黑体"/>
          <w:b/>
          <w:bCs/>
          <w:sz w:val="28"/>
          <w:szCs w:val="28"/>
        </w:rPr>
        <w:t>3.5.5  处理规模预测</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本规划人均日污水量取值65L/人·d。桃源县农村生活污水处理规模预测如下：</w:t>
      </w: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rPr>
          <w:rFonts w:asciiTheme="majorEastAsia" w:hAnsiTheme="majorEastAsia" w:eastAsiaTheme="majorEastAsia" w:cstheme="majorEastAsia"/>
          <w:sz w:val="22"/>
          <w:szCs w:val="22"/>
        </w:rPr>
      </w:pPr>
    </w:p>
    <w:p>
      <w:pPr>
        <w:spacing w:line="360" w:lineRule="auto"/>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表 3- 2各乡镇农村生活污水处理规模</w:t>
      </w:r>
    </w:p>
    <w:tbl>
      <w:tblPr>
        <w:tblStyle w:val="5"/>
        <w:tblpPr w:leftFromText="180" w:rightFromText="180" w:vertAnchor="text" w:horzAnchor="page" w:tblpX="1234" w:tblpY="47"/>
        <w:tblOverlap w:val="never"/>
        <w:tblW w:w="9660" w:type="dxa"/>
        <w:tblInd w:w="0" w:type="dxa"/>
        <w:tblLayout w:type="fixed"/>
        <w:tblCellMar>
          <w:top w:w="0" w:type="dxa"/>
          <w:left w:w="0" w:type="dxa"/>
          <w:bottom w:w="0" w:type="dxa"/>
          <w:right w:w="0" w:type="dxa"/>
        </w:tblCellMar>
      </w:tblPr>
      <w:tblGrid>
        <w:gridCol w:w="1133"/>
        <w:gridCol w:w="2385"/>
        <w:gridCol w:w="3001"/>
        <w:gridCol w:w="3141"/>
      </w:tblGrid>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line="330" w:lineRule="exact"/>
              <w:ind w:left="351" w:right="-2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pacing w:val="2"/>
                <w:position w:val="-1"/>
                <w:szCs w:val="21"/>
              </w:rPr>
              <w:t>序</w:t>
            </w:r>
            <w:r>
              <w:rPr>
                <w:rFonts w:hint="eastAsia" w:asciiTheme="majorEastAsia" w:hAnsiTheme="majorEastAsia" w:eastAsiaTheme="majorEastAsia" w:cstheme="majorEastAsia"/>
                <w:b/>
                <w:bCs/>
                <w:position w:val="-1"/>
                <w:szCs w:val="21"/>
              </w:rPr>
              <w:t>号</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766" w:right="-2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pacing w:val="2"/>
                <w:position w:val="-1"/>
                <w:szCs w:val="21"/>
              </w:rPr>
              <w:t>乡镇名</w:t>
            </w:r>
            <w:r>
              <w:rPr>
                <w:rFonts w:hint="eastAsia" w:asciiTheme="majorEastAsia" w:hAnsiTheme="majorEastAsia" w:eastAsiaTheme="majorEastAsia" w:cstheme="majorEastAsia"/>
                <w:b/>
                <w:bCs/>
                <w:position w:val="-1"/>
                <w:szCs w:val="21"/>
              </w:rPr>
              <w:t>称</w:t>
            </w:r>
          </w:p>
        </w:tc>
        <w:tc>
          <w:tcPr>
            <w:tcW w:w="3001" w:type="dxa"/>
            <w:tcBorders>
              <w:top w:val="single" w:color="000000" w:sz="2" w:space="0"/>
              <w:left w:val="single" w:color="000000" w:sz="2" w:space="0"/>
              <w:bottom w:val="single" w:color="000000" w:sz="2" w:space="0"/>
              <w:right w:val="single" w:color="000000" w:sz="2" w:space="0"/>
            </w:tcBorders>
          </w:tcPr>
          <w:p>
            <w:pPr>
              <w:spacing w:line="330" w:lineRule="exact"/>
              <w:ind w:left="551" w:right="-2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pacing w:val="2"/>
                <w:position w:val="-1"/>
                <w:szCs w:val="21"/>
              </w:rPr>
              <w:t>拟治理</w:t>
            </w:r>
            <w:r>
              <w:rPr>
                <w:rFonts w:hint="eastAsia" w:asciiTheme="majorEastAsia" w:hAnsiTheme="majorEastAsia" w:eastAsiaTheme="majorEastAsia" w:cstheme="majorEastAsia"/>
                <w:b/>
                <w:bCs/>
                <w:position w:val="-1"/>
                <w:szCs w:val="21"/>
              </w:rPr>
              <w:t>人</w:t>
            </w:r>
            <w:r>
              <w:rPr>
                <w:rFonts w:hint="eastAsia" w:asciiTheme="majorEastAsia" w:hAnsiTheme="majorEastAsia" w:eastAsiaTheme="majorEastAsia" w:cstheme="majorEastAsia"/>
                <w:b/>
                <w:bCs/>
                <w:spacing w:val="2"/>
                <w:position w:val="-1"/>
                <w:szCs w:val="21"/>
              </w:rPr>
              <w:t>口数（人</w:t>
            </w:r>
            <w:r>
              <w:rPr>
                <w:rFonts w:hint="eastAsia" w:asciiTheme="majorEastAsia" w:hAnsiTheme="majorEastAsia" w:eastAsiaTheme="majorEastAsia" w:cstheme="majorEastAsia"/>
                <w:b/>
                <w:bCs/>
                <w:position w:val="-1"/>
                <w:szCs w:val="21"/>
              </w:rPr>
              <w:t>）</w:t>
            </w:r>
          </w:p>
        </w:tc>
        <w:tc>
          <w:tcPr>
            <w:tcW w:w="3141" w:type="dxa"/>
            <w:tcBorders>
              <w:top w:val="single" w:color="000000" w:sz="2" w:space="0"/>
              <w:left w:val="single" w:color="000000" w:sz="2" w:space="0"/>
              <w:bottom w:val="single" w:color="000000" w:sz="2" w:space="0"/>
              <w:right w:val="single" w:color="000000" w:sz="2" w:space="0"/>
            </w:tcBorders>
          </w:tcPr>
          <w:p>
            <w:pPr>
              <w:spacing w:line="360" w:lineRule="auto"/>
              <w:ind w:firstLine="430" w:firstLineChars="200"/>
              <w:rPr>
                <w:rFonts w:asciiTheme="majorEastAsia" w:hAnsiTheme="majorEastAsia" w:eastAsiaTheme="majorEastAsia" w:cstheme="majorEastAsia"/>
                <w:b/>
                <w:bCs/>
                <w:szCs w:val="21"/>
                <w:vertAlign w:val="superscript"/>
              </w:rPr>
            </w:pPr>
            <w:r>
              <w:rPr>
                <w:rFonts w:hint="eastAsia" w:asciiTheme="majorEastAsia" w:hAnsiTheme="majorEastAsia" w:eastAsiaTheme="majorEastAsia" w:cstheme="majorEastAsia"/>
                <w:b/>
                <w:bCs/>
                <w:spacing w:val="2"/>
                <w:position w:val="-1"/>
                <w:szCs w:val="21"/>
              </w:rPr>
              <w:t>污水处</w:t>
            </w:r>
            <w:r>
              <w:rPr>
                <w:rFonts w:hint="eastAsia" w:asciiTheme="majorEastAsia" w:hAnsiTheme="majorEastAsia" w:eastAsiaTheme="majorEastAsia" w:cstheme="majorEastAsia"/>
                <w:b/>
                <w:bCs/>
                <w:position w:val="-1"/>
                <w:szCs w:val="21"/>
              </w:rPr>
              <w:t>理</w:t>
            </w:r>
            <w:r>
              <w:rPr>
                <w:rFonts w:hint="eastAsia" w:asciiTheme="majorEastAsia" w:hAnsiTheme="majorEastAsia" w:eastAsiaTheme="majorEastAsia" w:cstheme="majorEastAsia"/>
                <w:b/>
                <w:bCs/>
                <w:spacing w:val="2"/>
                <w:position w:val="-1"/>
                <w:szCs w:val="21"/>
              </w:rPr>
              <w:t>总</w:t>
            </w:r>
            <w:r>
              <w:rPr>
                <w:rFonts w:hint="eastAsia" w:asciiTheme="majorEastAsia" w:hAnsiTheme="majorEastAsia" w:eastAsiaTheme="majorEastAsia" w:cstheme="majorEastAsia"/>
                <w:b/>
                <w:bCs/>
                <w:position w:val="-1"/>
                <w:szCs w:val="21"/>
              </w:rPr>
              <w:t>量m</w:t>
            </w:r>
            <w:r>
              <w:rPr>
                <w:rFonts w:hint="eastAsia" w:asciiTheme="majorEastAsia" w:hAnsiTheme="majorEastAsia" w:eastAsiaTheme="majorEastAsia" w:cstheme="majorEastAsia"/>
                <w:b/>
                <w:bCs/>
                <w:szCs w:val="21"/>
                <w:vertAlign w:val="superscript"/>
              </w:rPr>
              <w:t xml:space="preserve">3 </w:t>
            </w:r>
            <w:r>
              <w:rPr>
                <w:rFonts w:hint="eastAsia" w:asciiTheme="majorEastAsia" w:hAnsiTheme="majorEastAsia" w:eastAsiaTheme="majorEastAsia" w:cstheme="majorEastAsia"/>
                <w:b/>
                <w:bCs/>
                <w:szCs w:val="21"/>
              </w:rPr>
              <w:t>/d</w:t>
            </w:r>
          </w:p>
          <w:p>
            <w:pPr>
              <w:spacing w:line="330" w:lineRule="exact"/>
              <w:ind w:left="701" w:right="-2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position w:val="-1"/>
                <w:szCs w:val="21"/>
              </w:rPr>
              <w:t>/d</w:t>
            </w:r>
          </w:p>
        </w:tc>
      </w:tr>
      <w:tr>
        <w:tblPrEx>
          <w:tblCellMar>
            <w:top w:w="0" w:type="dxa"/>
            <w:left w:w="0" w:type="dxa"/>
            <w:bottom w:w="0" w:type="dxa"/>
            <w:right w:w="0" w:type="dxa"/>
          </w:tblCellMar>
        </w:tblPrEx>
        <w:trPr>
          <w:trHeight w:val="404" w:hRule="exact"/>
        </w:trPr>
        <w:tc>
          <w:tcPr>
            <w:tcW w:w="1133" w:type="dxa"/>
            <w:tcBorders>
              <w:top w:val="single" w:color="000000" w:sz="2" w:space="0"/>
              <w:left w:val="single" w:color="000000" w:sz="2" w:space="0"/>
              <w:bottom w:val="single" w:color="000000" w:sz="2" w:space="0"/>
              <w:right w:val="single" w:color="000000" w:sz="2" w:space="0"/>
            </w:tcBorders>
          </w:tcPr>
          <w:p>
            <w:pPr>
              <w:spacing w:before="78"/>
              <w:ind w:left="474" w:right="45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1</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浔阳街道</w:t>
            </w:r>
          </w:p>
        </w:tc>
        <w:tc>
          <w:tcPr>
            <w:tcW w:w="3001" w:type="dxa"/>
            <w:tcBorders>
              <w:top w:val="single" w:color="000000" w:sz="2" w:space="0"/>
              <w:left w:val="single" w:color="000000" w:sz="2" w:space="0"/>
              <w:bottom w:val="single" w:color="000000" w:sz="2" w:space="0"/>
              <w:right w:val="single" w:color="000000" w:sz="2" w:space="0"/>
            </w:tcBorders>
          </w:tcPr>
          <w:p>
            <w:pPr>
              <w:spacing w:before="78"/>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18545</w:t>
            </w:r>
          </w:p>
        </w:tc>
        <w:tc>
          <w:tcPr>
            <w:tcW w:w="3141" w:type="dxa"/>
            <w:tcBorders>
              <w:top w:val="single" w:color="000000" w:sz="2" w:space="0"/>
              <w:left w:val="single" w:color="000000" w:sz="2" w:space="0"/>
              <w:bottom w:val="single" w:color="000000" w:sz="2" w:space="0"/>
              <w:right w:val="single" w:color="000000" w:sz="2" w:space="0"/>
            </w:tcBorders>
          </w:tcPr>
          <w:p>
            <w:pPr>
              <w:spacing w:before="78"/>
              <w:ind w:left="1268" w:right="1248"/>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12054</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74" w:right="45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2</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漳江街道</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39443</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25638</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74" w:right="45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3</w:t>
            </w:r>
          </w:p>
        </w:tc>
        <w:tc>
          <w:tcPr>
            <w:tcW w:w="2385" w:type="dxa"/>
            <w:tcBorders>
              <w:top w:val="single" w:color="000000" w:sz="2" w:space="0"/>
              <w:left w:val="single" w:color="000000" w:sz="2" w:space="0"/>
              <w:bottom w:val="single" w:color="000000" w:sz="2" w:space="0"/>
              <w:right w:val="single" w:color="000000" w:sz="2" w:space="0"/>
            </w:tcBorders>
          </w:tcPr>
          <w:p>
            <w:pPr>
              <w:spacing w:line="328"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陬市镇</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34831</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22640</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9"/>
              <w:ind w:left="474" w:right="45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4</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漆河镇</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60855</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39556</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9"/>
              <w:ind w:left="474" w:right="45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5</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沙坪镇</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23651</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15373</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8"/>
              <w:ind w:left="474" w:right="45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6</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三阳港镇</w:t>
            </w:r>
          </w:p>
        </w:tc>
        <w:tc>
          <w:tcPr>
            <w:tcW w:w="3001" w:type="dxa"/>
            <w:tcBorders>
              <w:top w:val="single" w:color="000000" w:sz="2" w:space="0"/>
              <w:left w:val="single" w:color="000000" w:sz="2" w:space="0"/>
              <w:bottom w:val="single" w:color="000000" w:sz="2" w:space="0"/>
              <w:right w:val="single" w:color="000000" w:sz="2" w:space="0"/>
            </w:tcBorders>
          </w:tcPr>
          <w:p>
            <w:pPr>
              <w:spacing w:before="78"/>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31879</w:t>
            </w:r>
          </w:p>
        </w:tc>
        <w:tc>
          <w:tcPr>
            <w:tcW w:w="3141" w:type="dxa"/>
            <w:tcBorders>
              <w:top w:val="single" w:color="000000" w:sz="2" w:space="0"/>
              <w:left w:val="single" w:color="000000" w:sz="2" w:space="0"/>
              <w:bottom w:val="single" w:color="000000" w:sz="2" w:space="0"/>
              <w:right w:val="single" w:color="000000" w:sz="2" w:space="0"/>
            </w:tcBorders>
          </w:tcPr>
          <w:p>
            <w:pPr>
              <w:spacing w:before="78"/>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20721</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8"/>
              <w:ind w:left="474" w:right="45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7</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黄石镇</w:t>
            </w:r>
          </w:p>
        </w:tc>
        <w:tc>
          <w:tcPr>
            <w:tcW w:w="3001" w:type="dxa"/>
            <w:tcBorders>
              <w:top w:val="single" w:color="000000" w:sz="2" w:space="0"/>
              <w:left w:val="single" w:color="000000" w:sz="2" w:space="0"/>
              <w:bottom w:val="single" w:color="000000" w:sz="2" w:space="0"/>
              <w:right w:val="single" w:color="000000" w:sz="2" w:space="0"/>
            </w:tcBorders>
          </w:tcPr>
          <w:p>
            <w:pPr>
              <w:spacing w:before="78"/>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16038</w:t>
            </w:r>
          </w:p>
        </w:tc>
        <w:tc>
          <w:tcPr>
            <w:tcW w:w="3141" w:type="dxa"/>
            <w:tcBorders>
              <w:top w:val="single" w:color="000000" w:sz="2" w:space="0"/>
              <w:left w:val="single" w:color="000000" w:sz="2" w:space="0"/>
              <w:bottom w:val="single" w:color="000000" w:sz="2" w:space="0"/>
              <w:right w:val="single" w:color="000000" w:sz="2" w:space="0"/>
            </w:tcBorders>
          </w:tcPr>
          <w:p>
            <w:pPr>
              <w:spacing w:before="78"/>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10425</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74" w:right="45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8</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西安镇</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14201</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320" w:right="13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9231</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74" w:right="45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9</w:t>
            </w:r>
          </w:p>
        </w:tc>
        <w:tc>
          <w:tcPr>
            <w:tcW w:w="2385" w:type="dxa"/>
            <w:tcBorders>
              <w:top w:val="single" w:color="000000" w:sz="2" w:space="0"/>
              <w:left w:val="single" w:color="000000" w:sz="2" w:space="0"/>
              <w:bottom w:val="single" w:color="000000" w:sz="2" w:space="0"/>
              <w:right w:val="single" w:color="000000" w:sz="2" w:space="0"/>
            </w:tcBorders>
          </w:tcPr>
          <w:p>
            <w:pPr>
              <w:spacing w:line="328"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理公港镇</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27541</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17902</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9"/>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0</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龙潭镇</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22511</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14632</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9"/>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1</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剪市镇</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17421</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11324</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8"/>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2</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茶庵铺镇</w:t>
            </w:r>
          </w:p>
        </w:tc>
        <w:tc>
          <w:tcPr>
            <w:tcW w:w="3001" w:type="dxa"/>
            <w:tcBorders>
              <w:top w:val="single" w:color="000000" w:sz="2" w:space="0"/>
              <w:left w:val="single" w:color="000000" w:sz="2" w:space="0"/>
              <w:bottom w:val="single" w:color="000000" w:sz="2" w:space="0"/>
              <w:right w:val="single" w:color="000000" w:sz="2" w:space="0"/>
            </w:tcBorders>
          </w:tcPr>
          <w:p>
            <w:pPr>
              <w:spacing w:before="78"/>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32858</w:t>
            </w:r>
          </w:p>
        </w:tc>
        <w:tc>
          <w:tcPr>
            <w:tcW w:w="3141" w:type="dxa"/>
            <w:tcBorders>
              <w:top w:val="single" w:color="000000" w:sz="2" w:space="0"/>
              <w:left w:val="single" w:color="000000" w:sz="2" w:space="0"/>
              <w:bottom w:val="single" w:color="000000" w:sz="2" w:space="0"/>
              <w:right w:val="single" w:color="000000" w:sz="2" w:space="0"/>
            </w:tcBorders>
          </w:tcPr>
          <w:p>
            <w:pPr>
              <w:spacing w:before="78"/>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21358</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8"/>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3</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盘塘镇</w:t>
            </w:r>
          </w:p>
        </w:tc>
        <w:tc>
          <w:tcPr>
            <w:tcW w:w="3001" w:type="dxa"/>
            <w:tcBorders>
              <w:top w:val="single" w:color="000000" w:sz="2" w:space="0"/>
              <w:left w:val="single" w:color="000000" w:sz="2" w:space="0"/>
              <w:bottom w:val="single" w:color="000000" w:sz="2" w:space="0"/>
              <w:right w:val="single" w:color="000000" w:sz="2" w:space="0"/>
            </w:tcBorders>
          </w:tcPr>
          <w:p>
            <w:pPr>
              <w:spacing w:before="78"/>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17782</w:t>
            </w:r>
          </w:p>
        </w:tc>
        <w:tc>
          <w:tcPr>
            <w:tcW w:w="3141" w:type="dxa"/>
            <w:tcBorders>
              <w:top w:val="single" w:color="000000" w:sz="2" w:space="0"/>
              <w:left w:val="single" w:color="000000" w:sz="2" w:space="0"/>
              <w:bottom w:val="single" w:color="000000" w:sz="2" w:space="0"/>
              <w:right w:val="single" w:color="000000" w:sz="2" w:space="0"/>
            </w:tcBorders>
          </w:tcPr>
          <w:p>
            <w:pPr>
              <w:spacing w:before="78"/>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11558</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4</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热市镇</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37638</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24465</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5</w:t>
            </w:r>
          </w:p>
        </w:tc>
        <w:tc>
          <w:tcPr>
            <w:tcW w:w="2385" w:type="dxa"/>
            <w:tcBorders>
              <w:top w:val="single" w:color="000000" w:sz="2" w:space="0"/>
              <w:left w:val="single" w:color="000000" w:sz="2" w:space="0"/>
              <w:bottom w:val="single" w:color="000000" w:sz="2" w:space="0"/>
              <w:right w:val="single" w:color="000000" w:sz="2" w:space="0"/>
            </w:tcBorders>
          </w:tcPr>
          <w:p>
            <w:pPr>
              <w:spacing w:line="328"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观音寺镇</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20665</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13432</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9"/>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6</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马鬃岭镇</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20087</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13057</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9"/>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7</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架桥镇</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28058</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18238</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8"/>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8</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夷望溪镇</w:t>
            </w:r>
          </w:p>
        </w:tc>
        <w:tc>
          <w:tcPr>
            <w:tcW w:w="3001" w:type="dxa"/>
            <w:tcBorders>
              <w:top w:val="single" w:color="000000" w:sz="2" w:space="0"/>
              <w:left w:val="single" w:color="000000" w:sz="2" w:space="0"/>
              <w:bottom w:val="single" w:color="000000" w:sz="2" w:space="0"/>
              <w:right w:val="single" w:color="000000" w:sz="2" w:space="0"/>
            </w:tcBorders>
          </w:tcPr>
          <w:p>
            <w:pPr>
              <w:spacing w:before="78"/>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28137</w:t>
            </w:r>
          </w:p>
        </w:tc>
        <w:tc>
          <w:tcPr>
            <w:tcW w:w="3141" w:type="dxa"/>
            <w:tcBorders>
              <w:top w:val="single" w:color="000000" w:sz="2" w:space="0"/>
              <w:left w:val="single" w:color="000000" w:sz="2" w:space="0"/>
              <w:bottom w:val="single" w:color="000000" w:sz="2" w:space="0"/>
              <w:right w:val="single" w:color="000000" w:sz="2" w:space="0"/>
            </w:tcBorders>
          </w:tcPr>
          <w:p>
            <w:pPr>
              <w:spacing w:before="78"/>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18289</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8"/>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1</w:t>
            </w:r>
            <w:r>
              <w:rPr>
                <w:rFonts w:hint="eastAsia" w:asciiTheme="majorEastAsia" w:hAnsiTheme="majorEastAsia" w:eastAsiaTheme="majorEastAsia" w:cstheme="majorEastAsia"/>
                <w:w w:val="99"/>
                <w:szCs w:val="21"/>
              </w:rPr>
              <w:t>9</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双溪口镇</w:t>
            </w:r>
          </w:p>
        </w:tc>
        <w:tc>
          <w:tcPr>
            <w:tcW w:w="3001" w:type="dxa"/>
            <w:tcBorders>
              <w:top w:val="single" w:color="000000" w:sz="2" w:space="0"/>
              <w:left w:val="single" w:color="000000" w:sz="2" w:space="0"/>
              <w:bottom w:val="single" w:color="000000" w:sz="2" w:space="0"/>
              <w:right w:val="single" w:color="000000" w:sz="2" w:space="0"/>
            </w:tcBorders>
          </w:tcPr>
          <w:p>
            <w:pPr>
              <w:spacing w:before="78"/>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22030</w:t>
            </w:r>
          </w:p>
        </w:tc>
        <w:tc>
          <w:tcPr>
            <w:tcW w:w="3141" w:type="dxa"/>
            <w:tcBorders>
              <w:top w:val="single" w:color="000000" w:sz="2" w:space="0"/>
              <w:left w:val="single" w:color="000000" w:sz="2" w:space="0"/>
              <w:bottom w:val="single" w:color="000000" w:sz="2" w:space="0"/>
              <w:right w:val="single" w:color="000000" w:sz="2" w:space="0"/>
            </w:tcBorders>
          </w:tcPr>
          <w:p>
            <w:pPr>
              <w:spacing w:before="78"/>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14320</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2</w:t>
            </w:r>
            <w:r>
              <w:rPr>
                <w:rFonts w:hint="eastAsia" w:asciiTheme="majorEastAsia" w:hAnsiTheme="majorEastAsia" w:eastAsiaTheme="majorEastAsia" w:cstheme="majorEastAsia"/>
                <w:w w:val="99"/>
                <w:szCs w:val="21"/>
              </w:rPr>
              <w:t>0</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九溪镇</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19146</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12445</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2</w:t>
            </w:r>
            <w:r>
              <w:rPr>
                <w:rFonts w:hint="eastAsia" w:asciiTheme="majorEastAsia" w:hAnsiTheme="majorEastAsia" w:eastAsiaTheme="majorEastAsia" w:cstheme="majorEastAsia"/>
                <w:w w:val="99"/>
                <w:szCs w:val="21"/>
              </w:rPr>
              <w:t>1</w:t>
            </w:r>
          </w:p>
        </w:tc>
        <w:tc>
          <w:tcPr>
            <w:tcW w:w="2385" w:type="dxa"/>
            <w:tcBorders>
              <w:top w:val="single" w:color="000000" w:sz="2" w:space="0"/>
              <w:left w:val="single" w:color="000000" w:sz="2" w:space="0"/>
              <w:bottom w:val="single" w:color="000000" w:sz="2" w:space="0"/>
              <w:right w:val="single" w:color="000000" w:sz="2" w:space="0"/>
            </w:tcBorders>
          </w:tcPr>
          <w:p>
            <w:pPr>
              <w:spacing w:line="328"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牛车河镇</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11832</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320" w:right="13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7691</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9"/>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2</w:t>
            </w:r>
            <w:r>
              <w:rPr>
                <w:rFonts w:hint="eastAsia" w:asciiTheme="majorEastAsia" w:hAnsiTheme="majorEastAsia" w:eastAsiaTheme="majorEastAsia" w:cstheme="majorEastAsia"/>
                <w:w w:val="99"/>
                <w:szCs w:val="21"/>
              </w:rPr>
              <w:t>2</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杨溪桥镇</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13311</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320" w:right="13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8652</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9"/>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2</w:t>
            </w:r>
            <w:r>
              <w:rPr>
                <w:rFonts w:hint="eastAsia" w:asciiTheme="majorEastAsia" w:hAnsiTheme="majorEastAsia" w:eastAsiaTheme="majorEastAsia" w:cstheme="majorEastAsia"/>
                <w:w w:val="99"/>
                <w:szCs w:val="21"/>
              </w:rPr>
              <w:t>3</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郑家驿镇</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24112</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15673</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8"/>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2</w:t>
            </w:r>
            <w:r>
              <w:rPr>
                <w:rFonts w:hint="eastAsia" w:asciiTheme="majorEastAsia" w:hAnsiTheme="majorEastAsia" w:eastAsiaTheme="majorEastAsia" w:cstheme="majorEastAsia"/>
                <w:w w:val="99"/>
                <w:szCs w:val="21"/>
              </w:rPr>
              <w:t>4</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木塘垸镇</w:t>
            </w:r>
          </w:p>
        </w:tc>
        <w:tc>
          <w:tcPr>
            <w:tcW w:w="3001" w:type="dxa"/>
            <w:tcBorders>
              <w:top w:val="single" w:color="000000" w:sz="2" w:space="0"/>
              <w:left w:val="single" w:color="000000" w:sz="2" w:space="0"/>
              <w:bottom w:val="single" w:color="000000" w:sz="2" w:space="0"/>
              <w:right w:val="single" w:color="000000" w:sz="2" w:space="0"/>
            </w:tcBorders>
          </w:tcPr>
          <w:p>
            <w:pPr>
              <w:spacing w:before="78"/>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28744</w:t>
            </w:r>
          </w:p>
        </w:tc>
        <w:tc>
          <w:tcPr>
            <w:tcW w:w="3141" w:type="dxa"/>
            <w:tcBorders>
              <w:top w:val="single" w:color="000000" w:sz="2" w:space="0"/>
              <w:left w:val="single" w:color="000000" w:sz="2" w:space="0"/>
              <w:bottom w:val="single" w:color="000000" w:sz="2" w:space="0"/>
              <w:right w:val="single" w:color="000000" w:sz="2" w:space="0"/>
            </w:tcBorders>
          </w:tcPr>
          <w:p>
            <w:pPr>
              <w:spacing w:before="78"/>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18684</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8"/>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2</w:t>
            </w:r>
            <w:r>
              <w:rPr>
                <w:rFonts w:hint="eastAsia" w:asciiTheme="majorEastAsia" w:hAnsiTheme="majorEastAsia" w:eastAsiaTheme="majorEastAsia" w:cstheme="majorEastAsia"/>
                <w:w w:val="99"/>
                <w:szCs w:val="21"/>
              </w:rPr>
              <w:t>5</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青林乡</w:t>
            </w:r>
          </w:p>
        </w:tc>
        <w:tc>
          <w:tcPr>
            <w:tcW w:w="3001" w:type="dxa"/>
            <w:tcBorders>
              <w:top w:val="single" w:color="000000" w:sz="2" w:space="0"/>
              <w:left w:val="single" w:color="000000" w:sz="2" w:space="0"/>
              <w:bottom w:val="single" w:color="000000" w:sz="2" w:space="0"/>
              <w:right w:val="single" w:color="000000" w:sz="2" w:space="0"/>
            </w:tcBorders>
          </w:tcPr>
          <w:p>
            <w:pPr>
              <w:spacing w:before="78"/>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36324</w:t>
            </w:r>
          </w:p>
        </w:tc>
        <w:tc>
          <w:tcPr>
            <w:tcW w:w="3141" w:type="dxa"/>
            <w:tcBorders>
              <w:top w:val="single" w:color="000000" w:sz="2" w:space="0"/>
              <w:left w:val="single" w:color="000000" w:sz="2" w:space="0"/>
              <w:bottom w:val="single" w:color="000000" w:sz="2" w:space="0"/>
              <w:right w:val="single" w:color="000000" w:sz="2" w:space="0"/>
            </w:tcBorders>
          </w:tcPr>
          <w:p>
            <w:pPr>
              <w:spacing w:before="78"/>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23611</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2</w:t>
            </w:r>
            <w:r>
              <w:rPr>
                <w:rFonts w:hint="eastAsia" w:asciiTheme="majorEastAsia" w:hAnsiTheme="majorEastAsia" w:eastAsiaTheme="majorEastAsia" w:cstheme="majorEastAsia"/>
                <w:w w:val="99"/>
                <w:szCs w:val="21"/>
              </w:rPr>
              <w:t>6</w:t>
            </w:r>
          </w:p>
        </w:tc>
        <w:tc>
          <w:tcPr>
            <w:tcW w:w="2385" w:type="dxa"/>
            <w:tcBorders>
              <w:top w:val="single" w:color="000000" w:sz="2" w:space="0"/>
              <w:left w:val="single" w:color="000000" w:sz="2" w:space="0"/>
              <w:bottom w:val="single" w:color="000000" w:sz="2" w:space="0"/>
              <w:right w:val="single" w:color="000000" w:sz="2" w:space="0"/>
            </w:tcBorders>
          </w:tcPr>
          <w:p>
            <w:pPr>
              <w:spacing w:line="329" w:lineRule="exact"/>
              <w:ind w:left="836" w:right="81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枫树乡</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24639</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267" w:right="1247"/>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16015</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7"/>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2</w:t>
            </w:r>
            <w:r>
              <w:rPr>
                <w:rFonts w:hint="eastAsia" w:asciiTheme="majorEastAsia" w:hAnsiTheme="majorEastAsia" w:eastAsiaTheme="majorEastAsia" w:cstheme="majorEastAsia"/>
                <w:w w:val="99"/>
                <w:szCs w:val="21"/>
              </w:rPr>
              <w:t>7</w:t>
            </w:r>
          </w:p>
        </w:tc>
        <w:tc>
          <w:tcPr>
            <w:tcW w:w="2385" w:type="dxa"/>
            <w:tcBorders>
              <w:top w:val="single" w:color="000000" w:sz="2" w:space="0"/>
              <w:left w:val="single" w:color="000000" w:sz="2" w:space="0"/>
              <w:bottom w:val="single" w:color="000000" w:sz="2" w:space="0"/>
              <w:right w:val="single" w:color="000000" w:sz="2" w:space="0"/>
            </w:tcBorders>
          </w:tcPr>
          <w:p>
            <w:pPr>
              <w:spacing w:line="328"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佘家坪乡</w:t>
            </w:r>
          </w:p>
        </w:tc>
        <w:tc>
          <w:tcPr>
            <w:tcW w:w="3001" w:type="dxa"/>
            <w:tcBorders>
              <w:top w:val="single" w:color="000000" w:sz="2" w:space="0"/>
              <w:left w:val="single" w:color="000000" w:sz="2" w:space="0"/>
              <w:bottom w:val="single" w:color="000000" w:sz="2" w:space="0"/>
              <w:right w:val="single" w:color="000000" w:sz="2" w:space="0"/>
            </w:tcBorders>
          </w:tcPr>
          <w:p>
            <w:pPr>
              <w:spacing w:before="77"/>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17907</w:t>
            </w:r>
          </w:p>
        </w:tc>
        <w:tc>
          <w:tcPr>
            <w:tcW w:w="3141" w:type="dxa"/>
            <w:tcBorders>
              <w:top w:val="single" w:color="000000" w:sz="2" w:space="0"/>
              <w:left w:val="single" w:color="000000" w:sz="2" w:space="0"/>
              <w:bottom w:val="single" w:color="000000" w:sz="2" w:space="0"/>
              <w:right w:val="single" w:color="000000" w:sz="2" w:space="0"/>
            </w:tcBorders>
          </w:tcPr>
          <w:p>
            <w:pPr>
              <w:spacing w:before="77"/>
              <w:ind w:left="1268" w:right="1248"/>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11640</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spacing w:before="79"/>
              <w:ind w:left="421" w:right="401"/>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w w:val="99"/>
                <w:szCs w:val="21"/>
              </w:rPr>
              <w:t>2</w:t>
            </w:r>
            <w:r>
              <w:rPr>
                <w:rFonts w:hint="eastAsia" w:asciiTheme="majorEastAsia" w:hAnsiTheme="majorEastAsia" w:eastAsiaTheme="majorEastAsia" w:cstheme="majorEastAsia"/>
                <w:w w:val="99"/>
                <w:szCs w:val="21"/>
              </w:rPr>
              <w:t>8</w:t>
            </w: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766" w:right="-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泥窝潭乡</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97" w:right="1179"/>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14469</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320" w:right="13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9405</w:t>
            </w:r>
          </w:p>
        </w:tc>
      </w:tr>
      <w:tr>
        <w:tblPrEx>
          <w:tblCellMar>
            <w:top w:w="0" w:type="dxa"/>
            <w:left w:w="0" w:type="dxa"/>
            <w:bottom w:w="0" w:type="dxa"/>
            <w:right w:w="0" w:type="dxa"/>
          </w:tblCellMar>
        </w:tblPrEx>
        <w:trPr>
          <w:trHeight w:val="394" w:hRule="exact"/>
        </w:trPr>
        <w:tc>
          <w:tcPr>
            <w:tcW w:w="1133" w:type="dxa"/>
            <w:tcBorders>
              <w:top w:val="single" w:color="000000" w:sz="2" w:space="0"/>
              <w:left w:val="single" w:color="000000" w:sz="2" w:space="0"/>
              <w:bottom w:val="single" w:color="000000" w:sz="2" w:space="0"/>
              <w:right w:val="single" w:color="000000" w:sz="2" w:space="0"/>
            </w:tcBorders>
          </w:tcPr>
          <w:p>
            <w:pPr>
              <w:rPr>
                <w:rFonts w:asciiTheme="majorEastAsia" w:hAnsiTheme="majorEastAsia" w:eastAsiaTheme="majorEastAsia" w:cstheme="majorEastAsia"/>
                <w:szCs w:val="21"/>
              </w:rPr>
            </w:pPr>
          </w:p>
        </w:tc>
        <w:tc>
          <w:tcPr>
            <w:tcW w:w="2385" w:type="dxa"/>
            <w:tcBorders>
              <w:top w:val="single" w:color="000000" w:sz="2" w:space="0"/>
              <w:left w:val="single" w:color="000000" w:sz="2" w:space="0"/>
              <w:bottom w:val="single" w:color="000000" w:sz="2" w:space="0"/>
              <w:right w:val="single" w:color="000000" w:sz="2" w:space="0"/>
            </w:tcBorders>
          </w:tcPr>
          <w:p>
            <w:pPr>
              <w:spacing w:line="330" w:lineRule="exact"/>
              <w:ind w:left="942" w:right="925"/>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3001" w:type="dxa"/>
            <w:tcBorders>
              <w:top w:val="single" w:color="000000" w:sz="2" w:space="0"/>
              <w:left w:val="single" w:color="000000" w:sz="2" w:space="0"/>
              <w:bottom w:val="single" w:color="000000" w:sz="2" w:space="0"/>
              <w:right w:val="single" w:color="000000" w:sz="2" w:space="0"/>
            </w:tcBorders>
          </w:tcPr>
          <w:p>
            <w:pPr>
              <w:spacing w:before="79"/>
              <w:ind w:left="1144" w:right="1126"/>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704677</w:t>
            </w:r>
          </w:p>
        </w:tc>
        <w:tc>
          <w:tcPr>
            <w:tcW w:w="3141" w:type="dxa"/>
            <w:tcBorders>
              <w:top w:val="single" w:color="000000" w:sz="2" w:space="0"/>
              <w:left w:val="single" w:color="000000" w:sz="2" w:space="0"/>
              <w:bottom w:val="single" w:color="000000" w:sz="2" w:space="0"/>
              <w:right w:val="single" w:color="000000" w:sz="2" w:space="0"/>
            </w:tcBorders>
          </w:tcPr>
          <w:p>
            <w:pPr>
              <w:spacing w:before="79"/>
              <w:ind w:left="1214" w:right="1194"/>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458020</w:t>
            </w:r>
          </w:p>
        </w:tc>
      </w:tr>
    </w:tbl>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注：人口数未计入已纳入城镇污水处理厂的人数。</w:t>
      </w:r>
    </w:p>
    <w:p>
      <w:pPr>
        <w:spacing w:line="360" w:lineRule="auto"/>
        <w:rPr>
          <w:rFonts w:asciiTheme="majorEastAsia" w:hAnsiTheme="majorEastAsia" w:eastAsiaTheme="majorEastAsia" w:cstheme="majorEastAsia"/>
          <w:sz w:val="22"/>
          <w:szCs w:val="22"/>
          <w:vertAlign w:val="superscript"/>
        </w:rPr>
      </w:pP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第4章</w:t>
      </w:r>
      <w:r>
        <w:rPr>
          <w:rFonts w:hint="eastAsia" w:asciiTheme="majorEastAsia" w:hAnsiTheme="majorEastAsia" w:eastAsiaTheme="majorEastAsia" w:cstheme="majorEastAsia"/>
          <w:b/>
          <w:bCs/>
          <w:sz w:val="44"/>
          <w:szCs w:val="44"/>
        </w:rPr>
        <w:tab/>
      </w:r>
      <w:r>
        <w:rPr>
          <w:rFonts w:hint="eastAsia" w:asciiTheme="majorEastAsia" w:hAnsiTheme="majorEastAsia" w:eastAsiaTheme="majorEastAsia" w:cstheme="majorEastAsia"/>
          <w:b/>
          <w:bCs/>
          <w:sz w:val="44"/>
          <w:szCs w:val="44"/>
        </w:rPr>
        <w:t>污水处理设施建设</w:t>
      </w:r>
    </w:p>
    <w:p>
      <w:pPr>
        <w:spacing w:line="360" w:lineRule="auto"/>
        <w:rPr>
          <w:rFonts w:ascii="黑体" w:hAnsi="黑体" w:eastAsia="黑体" w:cs="黑体"/>
          <w:sz w:val="30"/>
          <w:szCs w:val="30"/>
        </w:rPr>
      </w:pPr>
    </w:p>
    <w:p>
      <w:pPr>
        <w:spacing w:line="500" w:lineRule="exact"/>
        <w:rPr>
          <w:rFonts w:ascii="黑体" w:hAnsi="黑体" w:eastAsia="黑体" w:cs="黑体"/>
          <w:sz w:val="30"/>
          <w:szCs w:val="30"/>
        </w:rPr>
      </w:pPr>
      <w:r>
        <w:rPr>
          <w:rFonts w:hint="eastAsia" w:ascii="黑体" w:hAnsi="黑体" w:eastAsia="黑体" w:cs="黑体"/>
          <w:sz w:val="30"/>
          <w:szCs w:val="30"/>
        </w:rPr>
        <w:t>4.1  治理方式选择</w:t>
      </w:r>
    </w:p>
    <w:p>
      <w:pPr>
        <w:spacing w:line="50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桃源县地形地貌复杂多样，地区生态敏感程度不同，地域发展不平衡，不同地域间农村差别较</w:t>
      </w:r>
    </w:p>
    <w:p>
      <w:pPr>
        <w:spacing w:line="50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大， 加之农村地区长期以来形成的居住方式，生活习惯等方面的差异，根据近年来开展的农村生活污水治理工作实践，本规划推荐农村生活污水治理采用多元化的污水治理模式，具体包括集中纳 管治理、村庄集中点治理、分散（单户、联户）治理和资源化利用等污水治理模式。</w:t>
      </w:r>
    </w:p>
    <w:p>
      <w:pPr>
        <w:spacing w:line="500" w:lineRule="exact"/>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（1）集中纳管处理模式</w:t>
      </w:r>
    </w:p>
    <w:p>
      <w:pPr>
        <w:spacing w:line="50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集中纳管处理模式（以下简称纳管处理）是指邻近城镇的村庄， 利用污水管网将收集的污水直接接入邻近的市政污水管网，由城镇污水处理厂统一处理。具有处理厂规模大，水质、水量稳定， 单位基建投资和运行费用低，易于集中管理等优点。适用于距离市政管网近（一般 2 公里以内）， 具备施工条件且附近污水处理厂有接纳能力的村庄。</w:t>
      </w:r>
    </w:p>
    <w:p>
      <w:pPr>
        <w:spacing w:line="500" w:lineRule="exact"/>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 xml:space="preserve">（2）村庄集中点治理模式 </w:t>
      </w:r>
    </w:p>
    <w:p>
      <w:pPr>
        <w:spacing w:line="50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村庄集中点处理模式（以下简称集中点处理）是指根据各村（居）民集中点实际情况，采取“因</w:t>
      </w:r>
    </w:p>
    <w:p>
      <w:pPr>
        <w:spacing w:line="50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村制宜，因地制宜”原则，对各居民集中点生活污水利用纳污管网引到合适地点，建设小型污水处 理站。污水处理工艺主要采用厌氧+人工湿地：微动力污水处理工艺（太阳能微动力处理工艺或常规电力污水处理工艺）等其它工艺。统一建设污水处理设施，水质相对稳定，运行稳定，抗负荷冲 击能力强，出水水质好。适用于居住相对密集、管网施工难度不大的村庄。</w:t>
      </w:r>
    </w:p>
    <w:p>
      <w:pPr>
        <w:spacing w:line="500" w:lineRule="exact"/>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 xml:space="preserve">（3）分散（单户、联户）治理和资源化利用模式 </w:t>
      </w:r>
    </w:p>
    <w:p>
      <w:pPr>
        <w:spacing w:line="50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分散（单户、联户）治理和资源化利用模式是指当前无法集中铺设管网或集中收集处理的村庄。</w:t>
      </w:r>
    </w:p>
    <w:p>
      <w:pPr>
        <w:spacing w:line="50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其中分散式治理模式原则优先资源化利用，排放的需做到达标。该模式在“黑（水）灰（水）”分</w:t>
      </w:r>
    </w:p>
    <w:p>
      <w:pPr>
        <w:spacing w:line="500" w:lineRule="exac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离的基础上，“黑水”利用房前屋后的菜地、耕地等就近就地资源化利用，“灰水”资源化利用或处理后达标排放。该治理模式具有布局灵活、节约管网铺设成本、施工简单等特点，适用于农户居住分散、地形条件复杂、施工难度较大、污水不易集中收集的村庄。主要采用四格池等处理工艺。</w:t>
      </w:r>
    </w:p>
    <w:p>
      <w:pPr>
        <w:spacing w:line="500" w:lineRule="exact"/>
        <w:rPr>
          <w:rFonts w:ascii="黑体" w:hAnsi="黑体" w:eastAsia="黑体" w:cs="黑体"/>
          <w:sz w:val="30"/>
          <w:szCs w:val="30"/>
        </w:rPr>
      </w:pPr>
      <w:r>
        <w:rPr>
          <w:rFonts w:hint="eastAsia" w:ascii="黑体" w:hAnsi="黑体" w:eastAsia="黑体" w:cs="黑体"/>
          <w:sz w:val="30"/>
          <w:szCs w:val="30"/>
        </w:rPr>
        <w:t>4.2  设施布局选址</w:t>
      </w:r>
    </w:p>
    <w:p>
      <w:pPr>
        <w:spacing w:line="500" w:lineRule="exact"/>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污水处理系统布局主要从现状、规划、用地、尾水排放受纳水体水环境容量、角度考虑。结合</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县域总体规划、乡镇总体规划、村庄规划，城镇污水处 理设施建设、乡村旅游、中小流域综合治</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理等相关规划，生态保护红线、水功能区划、水环境功能区划等要求，合理安排农村生活污水处理 设施的布局，明确治理的村庄范围和数量等。</w:t>
      </w:r>
    </w:p>
    <w:p>
      <w:pPr>
        <w:spacing w:line="500" w:lineRule="exact"/>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（1）城镇污水处理厂规划布局</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据《常德市桃源县中心城区排水工程专项规划》（2012-2020）及桃源县各乡镇排水和污水处理工程专项规划，结合桃源县对污水系统的建设计划安排，桃源县已建成县城污水处理厂、桃源县第二污水处理厂、陬市镇污水处理厂和漆河镇污水处理厂，在建的包括杨溪桥镇等12个建制镇污水处理厂，拟于2020年启动建设的茶庵铺镇等13个建制镇污水处理厂。</w:t>
      </w:r>
    </w:p>
    <w:p>
      <w:pPr>
        <w:spacing w:line="360" w:lineRule="auto"/>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表 4- 1  城镇污水系统总体布局一览表</w:t>
      </w:r>
    </w:p>
    <w:tbl>
      <w:tblPr>
        <w:tblStyle w:val="6"/>
        <w:tblpPr w:leftFromText="180" w:rightFromText="180" w:vertAnchor="text" w:horzAnchor="page" w:tblpX="946" w:tblpY="23"/>
        <w:tblOverlap w:val="never"/>
        <w:tblW w:w="10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074"/>
        <w:gridCol w:w="1433"/>
        <w:gridCol w:w="1243"/>
        <w:gridCol w:w="1645"/>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Merge w:val="restart"/>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名称</w:t>
            </w:r>
          </w:p>
        </w:tc>
        <w:tc>
          <w:tcPr>
            <w:tcW w:w="1074" w:type="dxa"/>
            <w:vMerge w:val="restart"/>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建设状态</w:t>
            </w:r>
          </w:p>
        </w:tc>
        <w:tc>
          <w:tcPr>
            <w:tcW w:w="1433"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近期规模</w:t>
            </w:r>
          </w:p>
        </w:tc>
        <w:tc>
          <w:tcPr>
            <w:tcW w:w="1243"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远期规模</w:t>
            </w:r>
          </w:p>
        </w:tc>
        <w:tc>
          <w:tcPr>
            <w:tcW w:w="3615" w:type="dxa"/>
            <w:gridSpan w:val="2"/>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村（居）规划纳管处理情况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54" w:type="dxa"/>
            <w:vMerge w:val="continue"/>
            <w:vAlign w:val="center"/>
          </w:tcPr>
          <w:p>
            <w:pPr>
              <w:spacing w:line="360" w:lineRule="auto"/>
              <w:jc w:val="center"/>
              <w:rPr>
                <w:rFonts w:asciiTheme="majorEastAsia" w:hAnsiTheme="majorEastAsia" w:eastAsiaTheme="majorEastAsia" w:cstheme="majorEastAsia"/>
                <w:b/>
                <w:bCs/>
                <w:szCs w:val="21"/>
              </w:rPr>
            </w:pPr>
          </w:p>
        </w:tc>
        <w:tc>
          <w:tcPr>
            <w:tcW w:w="1074" w:type="dxa"/>
            <w:vMerge w:val="continue"/>
            <w:vAlign w:val="center"/>
          </w:tcPr>
          <w:p>
            <w:pPr>
              <w:spacing w:line="360" w:lineRule="auto"/>
              <w:jc w:val="center"/>
              <w:rPr>
                <w:rFonts w:asciiTheme="majorEastAsia" w:hAnsiTheme="majorEastAsia" w:eastAsiaTheme="majorEastAsia" w:cstheme="majorEastAsia"/>
                <w:b/>
                <w:bCs/>
                <w:szCs w:val="21"/>
              </w:rPr>
            </w:pPr>
          </w:p>
        </w:tc>
        <w:tc>
          <w:tcPr>
            <w:tcW w:w="1433"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position w:val="-1"/>
                <w:szCs w:val="21"/>
              </w:rPr>
              <w:t>（m</w:t>
            </w:r>
            <w:r>
              <w:rPr>
                <w:rFonts w:hint="eastAsia" w:asciiTheme="majorEastAsia" w:hAnsiTheme="majorEastAsia" w:eastAsiaTheme="majorEastAsia" w:cstheme="majorEastAsia"/>
                <w:b/>
                <w:bCs/>
                <w:szCs w:val="21"/>
                <w:vertAlign w:val="superscript"/>
              </w:rPr>
              <w:t xml:space="preserve">3 </w:t>
            </w:r>
            <w:r>
              <w:rPr>
                <w:rFonts w:hint="eastAsia" w:asciiTheme="majorEastAsia" w:hAnsiTheme="majorEastAsia" w:eastAsiaTheme="majorEastAsia" w:cstheme="majorEastAsia"/>
                <w:b/>
                <w:bCs/>
                <w:szCs w:val="21"/>
              </w:rPr>
              <w:t>/d）</w:t>
            </w:r>
          </w:p>
        </w:tc>
        <w:tc>
          <w:tcPr>
            <w:tcW w:w="1243"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position w:val="-1"/>
                <w:szCs w:val="21"/>
              </w:rPr>
              <w:t>（m</w:t>
            </w:r>
            <w:r>
              <w:rPr>
                <w:rFonts w:hint="eastAsia" w:asciiTheme="majorEastAsia" w:hAnsiTheme="majorEastAsia" w:eastAsiaTheme="majorEastAsia" w:cstheme="majorEastAsia"/>
                <w:b/>
                <w:bCs/>
                <w:szCs w:val="21"/>
                <w:vertAlign w:val="superscript"/>
              </w:rPr>
              <w:t xml:space="preserve">3 </w:t>
            </w:r>
            <w:r>
              <w:rPr>
                <w:rFonts w:hint="eastAsia" w:asciiTheme="majorEastAsia" w:hAnsiTheme="majorEastAsia" w:eastAsiaTheme="majorEastAsia" w:cstheme="majorEastAsia"/>
                <w:b/>
                <w:bCs/>
                <w:szCs w:val="21"/>
              </w:rPr>
              <w:t>/d）</w:t>
            </w:r>
          </w:p>
        </w:tc>
        <w:tc>
          <w:tcPr>
            <w:tcW w:w="1645"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现状纳管数量</w:t>
            </w:r>
          </w:p>
        </w:tc>
        <w:tc>
          <w:tcPr>
            <w:tcW w:w="1970"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2022年纳管数量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县城污水处理厂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已建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25000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500000</w:t>
            </w:r>
          </w:p>
        </w:tc>
        <w:tc>
          <w:tcPr>
            <w:tcW w:w="1645" w:type="dxa"/>
            <w:vMerge w:val="restart"/>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c>
          <w:tcPr>
            <w:tcW w:w="1970" w:type="dxa"/>
            <w:vMerge w:val="restart"/>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桃源县第二污水处理厂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已建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20000</w:t>
            </w:r>
          </w:p>
        </w:tc>
        <w:tc>
          <w:tcPr>
            <w:tcW w:w="1645" w:type="dxa"/>
            <w:vMerge w:val="continue"/>
            <w:vAlign w:val="center"/>
          </w:tcPr>
          <w:p>
            <w:pPr>
              <w:spacing w:line="312" w:lineRule="auto"/>
              <w:jc w:val="center"/>
              <w:rPr>
                <w:rFonts w:asciiTheme="majorEastAsia" w:hAnsiTheme="majorEastAsia" w:eastAsiaTheme="majorEastAsia" w:cstheme="majorEastAsia"/>
                <w:szCs w:val="21"/>
              </w:rPr>
            </w:pPr>
          </w:p>
        </w:tc>
        <w:tc>
          <w:tcPr>
            <w:tcW w:w="1970" w:type="dxa"/>
            <w:vMerge w:val="continue"/>
            <w:vAlign w:val="center"/>
          </w:tcPr>
          <w:p>
            <w:pPr>
              <w:spacing w:line="312"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桃源县城第三污水处理厂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50000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100000</w:t>
            </w:r>
          </w:p>
        </w:tc>
        <w:tc>
          <w:tcPr>
            <w:tcW w:w="1645" w:type="dxa"/>
            <w:vMerge w:val="continue"/>
            <w:vAlign w:val="center"/>
          </w:tcPr>
          <w:p>
            <w:pPr>
              <w:spacing w:line="312" w:lineRule="auto"/>
              <w:jc w:val="center"/>
              <w:rPr>
                <w:rFonts w:asciiTheme="majorEastAsia" w:hAnsiTheme="majorEastAsia" w:eastAsiaTheme="majorEastAsia" w:cstheme="majorEastAsia"/>
                <w:szCs w:val="21"/>
              </w:rPr>
            </w:pPr>
          </w:p>
        </w:tc>
        <w:tc>
          <w:tcPr>
            <w:tcW w:w="1970" w:type="dxa"/>
            <w:vMerge w:val="continue"/>
            <w:vAlign w:val="center"/>
          </w:tcPr>
          <w:p>
            <w:pPr>
              <w:spacing w:line="312"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桃源县城东区污水处理厂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10000</w:t>
            </w:r>
          </w:p>
        </w:tc>
        <w:tc>
          <w:tcPr>
            <w:tcW w:w="1645" w:type="dxa"/>
            <w:vMerge w:val="continue"/>
            <w:vAlign w:val="center"/>
          </w:tcPr>
          <w:p>
            <w:pPr>
              <w:spacing w:line="312" w:lineRule="auto"/>
              <w:jc w:val="center"/>
              <w:rPr>
                <w:rFonts w:asciiTheme="majorEastAsia" w:hAnsiTheme="majorEastAsia" w:eastAsiaTheme="majorEastAsia" w:cstheme="majorEastAsia"/>
                <w:szCs w:val="21"/>
              </w:rPr>
            </w:pPr>
          </w:p>
        </w:tc>
        <w:tc>
          <w:tcPr>
            <w:tcW w:w="1970" w:type="dxa"/>
            <w:vMerge w:val="continue"/>
            <w:vAlign w:val="center"/>
          </w:tcPr>
          <w:p>
            <w:pPr>
              <w:spacing w:line="312"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陬市镇污水处理厂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已建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25000</w:t>
            </w:r>
          </w:p>
        </w:tc>
        <w:tc>
          <w:tcPr>
            <w:tcW w:w="1645"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漆河镇污水处理厂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已建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5000</w:t>
            </w:r>
          </w:p>
        </w:tc>
        <w:tc>
          <w:tcPr>
            <w:tcW w:w="1645"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杨溪桥镇污水处理厂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牛车河镇污水处理厂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西安镇污水处理厂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350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550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佘家坪乡污水处理厂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450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理公港镇污水处理厂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550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950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双溪口镇污水处理厂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枫树乡污水处理厂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泥窝潭乡污水处理厂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木塘垸镇污水处理厂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450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750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九溪镇污水处理厂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郑家驿镇污水处理厂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330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茶庵铺镇污水处理厂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3100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观音寺镇污水处理厂</w:t>
            </w:r>
          </w:p>
        </w:tc>
        <w:tc>
          <w:tcPr>
            <w:tcW w:w="1074"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w:t>
            </w:r>
          </w:p>
        </w:tc>
        <w:tc>
          <w:tcPr>
            <w:tcW w:w="1243"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1000</w:t>
            </w:r>
          </w:p>
        </w:tc>
        <w:tc>
          <w:tcPr>
            <w:tcW w:w="1645" w:type="dxa"/>
            <w:vAlign w:val="center"/>
          </w:tcPr>
          <w:p>
            <w:pPr>
              <w:spacing w:line="312" w:lineRule="auto"/>
              <w:jc w:val="center"/>
              <w:rPr>
                <w:rFonts w:asciiTheme="majorEastAsia" w:hAnsiTheme="majorEastAsia" w:eastAsiaTheme="majorEastAsia" w:cstheme="majorEastAsia"/>
                <w:szCs w:val="21"/>
              </w:rPr>
            </w:pPr>
          </w:p>
        </w:tc>
        <w:tc>
          <w:tcPr>
            <w:tcW w:w="1970" w:type="dxa"/>
            <w:vAlign w:val="center"/>
          </w:tcPr>
          <w:p>
            <w:pPr>
              <w:spacing w:line="31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Merge w:val="restart"/>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名称</w:t>
            </w:r>
          </w:p>
        </w:tc>
        <w:tc>
          <w:tcPr>
            <w:tcW w:w="1074" w:type="dxa"/>
            <w:vMerge w:val="restart"/>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建设状态</w:t>
            </w:r>
          </w:p>
        </w:tc>
        <w:tc>
          <w:tcPr>
            <w:tcW w:w="1433"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近期规模</w:t>
            </w:r>
          </w:p>
        </w:tc>
        <w:tc>
          <w:tcPr>
            <w:tcW w:w="1243"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远期规模</w:t>
            </w:r>
          </w:p>
        </w:tc>
        <w:tc>
          <w:tcPr>
            <w:tcW w:w="3615" w:type="dxa"/>
            <w:gridSpan w:val="2"/>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村（居）规划纳管处理情况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754" w:type="dxa"/>
            <w:vMerge w:val="continue"/>
            <w:vAlign w:val="center"/>
          </w:tcPr>
          <w:p>
            <w:pPr>
              <w:spacing w:line="360" w:lineRule="auto"/>
              <w:jc w:val="center"/>
              <w:rPr>
                <w:rFonts w:asciiTheme="majorEastAsia" w:hAnsiTheme="majorEastAsia" w:eastAsiaTheme="majorEastAsia" w:cstheme="majorEastAsia"/>
                <w:b/>
                <w:bCs/>
                <w:szCs w:val="21"/>
              </w:rPr>
            </w:pPr>
          </w:p>
        </w:tc>
        <w:tc>
          <w:tcPr>
            <w:tcW w:w="1074" w:type="dxa"/>
            <w:vMerge w:val="continue"/>
            <w:vAlign w:val="center"/>
          </w:tcPr>
          <w:p>
            <w:pPr>
              <w:spacing w:line="360" w:lineRule="auto"/>
              <w:jc w:val="center"/>
              <w:rPr>
                <w:rFonts w:asciiTheme="majorEastAsia" w:hAnsiTheme="majorEastAsia" w:eastAsiaTheme="majorEastAsia" w:cstheme="majorEastAsia"/>
                <w:b/>
                <w:bCs/>
                <w:szCs w:val="21"/>
              </w:rPr>
            </w:pPr>
          </w:p>
        </w:tc>
        <w:tc>
          <w:tcPr>
            <w:tcW w:w="1433"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position w:val="-1"/>
                <w:szCs w:val="21"/>
              </w:rPr>
              <w:t>（m</w:t>
            </w:r>
            <w:r>
              <w:rPr>
                <w:rFonts w:hint="eastAsia" w:asciiTheme="majorEastAsia" w:hAnsiTheme="majorEastAsia" w:eastAsiaTheme="majorEastAsia" w:cstheme="majorEastAsia"/>
                <w:b/>
                <w:bCs/>
                <w:szCs w:val="21"/>
                <w:vertAlign w:val="superscript"/>
              </w:rPr>
              <w:t xml:space="preserve">3 </w:t>
            </w:r>
            <w:r>
              <w:rPr>
                <w:rFonts w:hint="eastAsia" w:asciiTheme="majorEastAsia" w:hAnsiTheme="majorEastAsia" w:eastAsiaTheme="majorEastAsia" w:cstheme="majorEastAsia"/>
                <w:b/>
                <w:bCs/>
                <w:szCs w:val="21"/>
              </w:rPr>
              <w:t>/d）</w:t>
            </w:r>
          </w:p>
        </w:tc>
        <w:tc>
          <w:tcPr>
            <w:tcW w:w="1243"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position w:val="-1"/>
                <w:szCs w:val="21"/>
              </w:rPr>
              <w:t>（m</w:t>
            </w:r>
            <w:r>
              <w:rPr>
                <w:rFonts w:hint="eastAsia" w:asciiTheme="majorEastAsia" w:hAnsiTheme="majorEastAsia" w:eastAsiaTheme="majorEastAsia" w:cstheme="majorEastAsia"/>
                <w:b/>
                <w:bCs/>
                <w:szCs w:val="21"/>
                <w:vertAlign w:val="superscript"/>
              </w:rPr>
              <w:t xml:space="preserve">3 </w:t>
            </w:r>
            <w:r>
              <w:rPr>
                <w:rFonts w:hint="eastAsia" w:asciiTheme="majorEastAsia" w:hAnsiTheme="majorEastAsia" w:eastAsiaTheme="majorEastAsia" w:cstheme="majorEastAsia"/>
                <w:b/>
                <w:bCs/>
                <w:szCs w:val="21"/>
              </w:rPr>
              <w:t>/d）</w:t>
            </w:r>
          </w:p>
        </w:tc>
        <w:tc>
          <w:tcPr>
            <w:tcW w:w="1645"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现状纳管数量</w:t>
            </w:r>
          </w:p>
        </w:tc>
        <w:tc>
          <w:tcPr>
            <w:tcW w:w="1970" w:type="dxa"/>
            <w:vAlign w:val="center"/>
          </w:tcPr>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2022年纳管数量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黄石镇污水处理厂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架桥镇污水处理厂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剪市镇污水处理厂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龙潭镇污水处理厂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马鬃岭镇污水处理厂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盘塘镇污水处理厂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热市镇污水处理厂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三阳港镇污水处理厂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沙坪镇污水处理厂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夷望溪镇污水处理厂</w:t>
            </w:r>
          </w:p>
        </w:tc>
        <w:tc>
          <w:tcPr>
            <w:tcW w:w="107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拟建</w:t>
            </w: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w:t>
            </w:r>
          </w:p>
        </w:tc>
        <w:tc>
          <w:tcPr>
            <w:tcW w:w="1645" w:type="dxa"/>
            <w:vAlign w:val="center"/>
          </w:tcPr>
          <w:p>
            <w:pPr>
              <w:spacing w:line="192" w:lineRule="auto"/>
              <w:jc w:val="center"/>
              <w:rPr>
                <w:rFonts w:asciiTheme="majorEastAsia" w:hAnsiTheme="majorEastAsia" w:eastAsiaTheme="majorEastAsia" w:cstheme="majorEastAsia"/>
                <w:szCs w:val="21"/>
              </w:rPr>
            </w:pP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1074" w:type="dxa"/>
            <w:vAlign w:val="center"/>
          </w:tcPr>
          <w:p>
            <w:pPr>
              <w:spacing w:line="192" w:lineRule="auto"/>
              <w:jc w:val="center"/>
              <w:rPr>
                <w:rFonts w:asciiTheme="majorEastAsia" w:hAnsiTheme="majorEastAsia" w:eastAsiaTheme="majorEastAsia" w:cstheme="majorEastAsia"/>
                <w:szCs w:val="21"/>
              </w:rPr>
            </w:pPr>
          </w:p>
        </w:tc>
        <w:tc>
          <w:tcPr>
            <w:tcW w:w="143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116800</w:t>
            </w:r>
          </w:p>
        </w:tc>
        <w:tc>
          <w:tcPr>
            <w:tcW w:w="1243"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678880</w:t>
            </w:r>
          </w:p>
        </w:tc>
        <w:tc>
          <w:tcPr>
            <w:tcW w:w="1645"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33</w:t>
            </w:r>
          </w:p>
        </w:tc>
        <w:tc>
          <w:tcPr>
            <w:tcW w:w="1970" w:type="dxa"/>
            <w:vAlign w:val="center"/>
          </w:tcPr>
          <w:p>
            <w:pPr>
              <w:spacing w:line="192"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79</w:t>
            </w:r>
          </w:p>
        </w:tc>
      </w:tr>
    </w:tbl>
    <w:p>
      <w:pPr>
        <w:spacing w:line="500" w:lineRule="exact"/>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（2）纳管处理规划</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根据桃源县污水管网建设的分期特点，本工程将村（居）农村生活污水纳管分为两个时间节点： 现有纳管2020年，由于大部分集镇污水处理厂和配套管网建设时序为2019年-2020年，该部分管道资金和建设时序上均有保障。远期纳管2022年，届时集镇污水处理厂已启动远期建设规划。三年内计划纳管的村共79个。</w:t>
      </w:r>
    </w:p>
    <w:p>
      <w:pPr>
        <w:spacing w:line="360" w:lineRule="auto"/>
        <w:ind w:firstLine="442" w:firstLineChars="200"/>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表 4- 2 村（居）生活污水管处理计划一览表</w:t>
      </w:r>
    </w:p>
    <w:tbl>
      <w:tblPr>
        <w:tblStyle w:val="6"/>
        <w:tblW w:w="10130"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007"/>
        <w:gridCol w:w="907"/>
        <w:gridCol w:w="1007"/>
        <w:gridCol w:w="1019"/>
        <w:gridCol w:w="2698"/>
        <w:gridCol w:w="15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03" w:type="dxa"/>
            <w:vMerge w:val="restart"/>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007" w:type="dxa"/>
            <w:vMerge w:val="restart"/>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乡镇</w:t>
            </w:r>
          </w:p>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名称</w:t>
            </w:r>
          </w:p>
        </w:tc>
        <w:tc>
          <w:tcPr>
            <w:tcW w:w="907" w:type="dxa"/>
            <w:vMerge w:val="restart"/>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村（居）总数</w:t>
            </w:r>
          </w:p>
        </w:tc>
        <w:tc>
          <w:tcPr>
            <w:tcW w:w="1007" w:type="dxa"/>
            <w:vAlign w:val="center"/>
          </w:tcPr>
          <w:p>
            <w:pPr>
              <w:spacing w:line="144" w:lineRule="auto"/>
              <w:jc w:val="center"/>
              <w:rPr>
                <w:rFonts w:asciiTheme="majorEastAsia" w:hAnsiTheme="majorEastAsia" w:eastAsiaTheme="majorEastAsia" w:cstheme="majorEastAsia"/>
                <w:b/>
                <w:bCs/>
                <w:szCs w:val="21"/>
              </w:rPr>
            </w:pPr>
          </w:p>
        </w:tc>
        <w:tc>
          <w:tcPr>
            <w:tcW w:w="1019" w:type="dxa"/>
            <w:vAlign w:val="center"/>
          </w:tcPr>
          <w:p>
            <w:pPr>
              <w:spacing w:line="144" w:lineRule="auto"/>
              <w:jc w:val="center"/>
              <w:rPr>
                <w:rFonts w:asciiTheme="majorEastAsia" w:hAnsiTheme="majorEastAsia" w:eastAsiaTheme="majorEastAsia" w:cstheme="majorEastAsia"/>
                <w:b/>
                <w:bCs/>
                <w:szCs w:val="21"/>
              </w:rPr>
            </w:pPr>
          </w:p>
        </w:tc>
        <w:tc>
          <w:tcPr>
            <w:tcW w:w="5787" w:type="dxa"/>
            <w:gridSpan w:val="3"/>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村（居）纳管处理情况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3" w:type="dxa"/>
            <w:vMerge w:val="continue"/>
            <w:vAlign w:val="center"/>
          </w:tcPr>
          <w:p>
            <w:pPr>
              <w:spacing w:line="144" w:lineRule="auto"/>
              <w:jc w:val="center"/>
              <w:rPr>
                <w:b/>
                <w:bCs/>
                <w:szCs w:val="21"/>
              </w:rPr>
            </w:pPr>
          </w:p>
        </w:tc>
        <w:tc>
          <w:tcPr>
            <w:tcW w:w="1007" w:type="dxa"/>
            <w:vMerge w:val="continue"/>
            <w:vAlign w:val="center"/>
          </w:tcPr>
          <w:p>
            <w:pPr>
              <w:spacing w:line="144" w:lineRule="auto"/>
              <w:jc w:val="center"/>
              <w:rPr>
                <w:b/>
                <w:bCs/>
                <w:szCs w:val="21"/>
              </w:rPr>
            </w:pPr>
          </w:p>
        </w:tc>
        <w:tc>
          <w:tcPr>
            <w:tcW w:w="907" w:type="dxa"/>
            <w:vMerge w:val="continue"/>
            <w:vAlign w:val="center"/>
          </w:tcPr>
          <w:p>
            <w:pPr>
              <w:spacing w:line="144" w:lineRule="auto"/>
              <w:jc w:val="center"/>
              <w:rPr>
                <w:b/>
                <w:bCs/>
                <w:szCs w:val="21"/>
              </w:rPr>
            </w:pPr>
          </w:p>
        </w:tc>
        <w:tc>
          <w:tcPr>
            <w:tcW w:w="1007"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完全纳管数</w:t>
            </w:r>
          </w:p>
        </w:tc>
        <w:tc>
          <w:tcPr>
            <w:tcW w:w="1019"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部分纳管数</w:t>
            </w:r>
          </w:p>
        </w:tc>
        <w:tc>
          <w:tcPr>
            <w:tcW w:w="2698"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2019年纳管名单</w:t>
            </w:r>
          </w:p>
        </w:tc>
        <w:tc>
          <w:tcPr>
            <w:tcW w:w="1500"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2022年完全纳管名单</w:t>
            </w:r>
          </w:p>
        </w:tc>
        <w:tc>
          <w:tcPr>
            <w:tcW w:w="1589"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2022年部分纳管名单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03"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00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浔阳街道</w:t>
            </w:r>
          </w:p>
        </w:tc>
        <w:tc>
          <w:tcPr>
            <w:tcW w:w="90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100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1019" w:type="dxa"/>
            <w:vAlign w:val="center"/>
          </w:tcPr>
          <w:p>
            <w:pPr>
              <w:spacing w:line="360" w:lineRule="auto"/>
              <w:jc w:val="center"/>
              <w:rPr>
                <w:rFonts w:asciiTheme="majorEastAsia" w:hAnsiTheme="majorEastAsia" w:eastAsiaTheme="majorEastAsia" w:cstheme="majorEastAsia"/>
                <w:szCs w:val="21"/>
              </w:rPr>
            </w:pPr>
          </w:p>
        </w:tc>
        <w:tc>
          <w:tcPr>
            <w:tcW w:w="2698" w:type="dxa"/>
          </w:tcPr>
          <w:p>
            <w:pPr>
              <w:spacing w:line="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尧河居委会、梅溪桥居委</w:t>
            </w:r>
          </w:p>
          <w:p>
            <w:pPr>
              <w:spacing w:line="2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会、八字路居委会、万寿</w:t>
            </w:r>
          </w:p>
          <w:p>
            <w:pPr>
              <w:spacing w:line="2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桥居委会、天子岗居委会、二里岗居委会、洞庭宫居委会、莲花湖居委会、廻峰村、箓萝坪村</w:t>
            </w:r>
          </w:p>
        </w:tc>
        <w:tc>
          <w:tcPr>
            <w:tcW w:w="1500" w:type="dxa"/>
          </w:tcPr>
          <w:p>
            <w:pPr>
              <w:spacing w:line="360" w:lineRule="auto"/>
              <w:jc w:val="center"/>
              <w:rPr>
                <w:rFonts w:asciiTheme="majorEastAsia" w:hAnsiTheme="majorEastAsia" w:eastAsiaTheme="majorEastAsia" w:cstheme="majorEastAsia"/>
                <w:szCs w:val="21"/>
              </w:rPr>
            </w:pPr>
          </w:p>
        </w:tc>
        <w:tc>
          <w:tcPr>
            <w:tcW w:w="1589" w:type="dxa"/>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00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漳江街道</w:t>
            </w:r>
          </w:p>
        </w:tc>
        <w:tc>
          <w:tcPr>
            <w:tcW w:w="90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w:t>
            </w:r>
          </w:p>
        </w:tc>
        <w:tc>
          <w:tcPr>
            <w:tcW w:w="100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1019" w:type="dxa"/>
            <w:vAlign w:val="center"/>
          </w:tcPr>
          <w:p>
            <w:pPr>
              <w:spacing w:line="360" w:lineRule="auto"/>
              <w:jc w:val="center"/>
              <w:rPr>
                <w:rFonts w:asciiTheme="majorEastAsia" w:hAnsiTheme="majorEastAsia" w:eastAsiaTheme="majorEastAsia" w:cstheme="majorEastAsia"/>
                <w:szCs w:val="21"/>
              </w:rPr>
            </w:pPr>
          </w:p>
        </w:tc>
        <w:tc>
          <w:tcPr>
            <w:tcW w:w="2698" w:type="dxa"/>
          </w:tcPr>
          <w:p>
            <w:pPr>
              <w:spacing w:line="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白佛阁居委会、桐木港居</w:t>
            </w:r>
          </w:p>
          <w:p>
            <w:pPr>
              <w:spacing w:line="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委会、官家坪居委会、渔</w:t>
            </w:r>
          </w:p>
          <w:p>
            <w:pPr>
              <w:spacing w:line="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父祠居委会、黄花井居委</w:t>
            </w:r>
          </w:p>
          <w:p>
            <w:pPr>
              <w:spacing w:line="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会、文星园居委会、西苑</w:t>
            </w:r>
          </w:p>
          <w:p>
            <w:pPr>
              <w:spacing w:line="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居委会、纺城路居委会、</w:t>
            </w:r>
          </w:p>
          <w:p>
            <w:pPr>
              <w:spacing w:line="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漳江阁居委会、文昌阁居委会、观音巷居委会</w:t>
            </w:r>
            <w:r>
              <w:rPr>
                <w:rFonts w:hint="eastAsia" w:asciiTheme="majorEastAsia" w:hAnsiTheme="majorEastAsia" w:eastAsiaTheme="majorEastAsia" w:cstheme="majorEastAsia"/>
                <w:szCs w:val="21"/>
              </w:rPr>
              <w:tab/>
            </w:r>
          </w:p>
        </w:tc>
        <w:tc>
          <w:tcPr>
            <w:tcW w:w="1500" w:type="dxa"/>
          </w:tcPr>
          <w:p>
            <w:pPr>
              <w:spacing w:line="360" w:lineRule="auto"/>
              <w:jc w:val="center"/>
              <w:rPr>
                <w:rFonts w:asciiTheme="majorEastAsia" w:hAnsiTheme="majorEastAsia" w:eastAsiaTheme="majorEastAsia" w:cstheme="majorEastAsia"/>
                <w:szCs w:val="21"/>
              </w:rPr>
            </w:pPr>
          </w:p>
        </w:tc>
        <w:tc>
          <w:tcPr>
            <w:tcW w:w="1589" w:type="dxa"/>
          </w:tcPr>
          <w:p>
            <w:pPr>
              <w:spacing w:line="360" w:lineRule="auto"/>
              <w:jc w:val="center"/>
              <w:rPr>
                <w:rFonts w:asciiTheme="majorEastAsia" w:hAnsiTheme="majorEastAsia" w:eastAsiaTheme="majorEastAsia" w:cstheme="majorEastAsia"/>
                <w:szCs w:val="21"/>
              </w:rPr>
            </w:pPr>
          </w:p>
        </w:tc>
      </w:tr>
    </w:tbl>
    <w:p>
      <w:pPr>
        <w:spacing w:line="360" w:lineRule="auto"/>
        <w:ind w:firstLine="442" w:firstLineChars="200"/>
        <w:jc w:val="center"/>
        <w:rPr>
          <w:rFonts w:asciiTheme="majorEastAsia" w:hAnsiTheme="majorEastAsia" w:eastAsiaTheme="majorEastAsia" w:cstheme="majorEastAsia"/>
          <w:b/>
          <w:bCs/>
          <w:sz w:val="22"/>
          <w:szCs w:val="22"/>
        </w:rPr>
      </w:pPr>
    </w:p>
    <w:p>
      <w:pPr>
        <w:spacing w:line="360" w:lineRule="auto"/>
        <w:ind w:firstLine="442" w:firstLineChars="200"/>
        <w:jc w:val="center"/>
        <w:rPr>
          <w:rFonts w:asciiTheme="majorEastAsia" w:hAnsiTheme="majorEastAsia" w:eastAsiaTheme="majorEastAsia" w:cstheme="majorEastAsia"/>
          <w:b/>
          <w:bCs/>
          <w:sz w:val="22"/>
          <w:szCs w:val="22"/>
        </w:rPr>
      </w:pPr>
    </w:p>
    <w:tbl>
      <w:tblPr>
        <w:tblStyle w:val="6"/>
        <w:tblW w:w="1005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086"/>
        <w:gridCol w:w="851"/>
        <w:gridCol w:w="649"/>
        <w:gridCol w:w="694"/>
        <w:gridCol w:w="2508"/>
        <w:gridCol w:w="162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34" w:type="dxa"/>
            <w:vMerge w:val="restart"/>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086" w:type="dxa"/>
            <w:vMerge w:val="restart"/>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乡镇</w:t>
            </w:r>
          </w:p>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名称</w:t>
            </w:r>
          </w:p>
        </w:tc>
        <w:tc>
          <w:tcPr>
            <w:tcW w:w="851" w:type="dxa"/>
            <w:vMerge w:val="restart"/>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村（居）总数</w:t>
            </w:r>
          </w:p>
        </w:tc>
        <w:tc>
          <w:tcPr>
            <w:tcW w:w="649" w:type="dxa"/>
            <w:vAlign w:val="center"/>
          </w:tcPr>
          <w:p>
            <w:pPr>
              <w:spacing w:line="144" w:lineRule="auto"/>
              <w:jc w:val="center"/>
              <w:rPr>
                <w:rFonts w:asciiTheme="majorEastAsia" w:hAnsiTheme="majorEastAsia" w:eastAsiaTheme="majorEastAsia" w:cstheme="majorEastAsia"/>
                <w:b/>
                <w:bCs/>
                <w:szCs w:val="21"/>
              </w:rPr>
            </w:pPr>
          </w:p>
        </w:tc>
        <w:tc>
          <w:tcPr>
            <w:tcW w:w="694" w:type="dxa"/>
            <w:vAlign w:val="center"/>
          </w:tcPr>
          <w:p>
            <w:pPr>
              <w:spacing w:line="144" w:lineRule="auto"/>
              <w:jc w:val="center"/>
              <w:rPr>
                <w:rFonts w:asciiTheme="majorEastAsia" w:hAnsiTheme="majorEastAsia" w:eastAsiaTheme="majorEastAsia" w:cstheme="majorEastAsia"/>
                <w:b/>
                <w:bCs/>
                <w:szCs w:val="21"/>
              </w:rPr>
            </w:pPr>
          </w:p>
        </w:tc>
        <w:tc>
          <w:tcPr>
            <w:tcW w:w="6336" w:type="dxa"/>
            <w:gridSpan w:val="3"/>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村（居）纳管处理情况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 w:type="dxa"/>
            <w:vMerge w:val="continue"/>
            <w:vAlign w:val="center"/>
          </w:tcPr>
          <w:p>
            <w:pPr>
              <w:spacing w:line="144" w:lineRule="auto"/>
              <w:jc w:val="center"/>
              <w:rPr>
                <w:b/>
                <w:bCs/>
                <w:szCs w:val="21"/>
              </w:rPr>
            </w:pPr>
          </w:p>
        </w:tc>
        <w:tc>
          <w:tcPr>
            <w:tcW w:w="1086" w:type="dxa"/>
            <w:vMerge w:val="continue"/>
            <w:vAlign w:val="center"/>
          </w:tcPr>
          <w:p>
            <w:pPr>
              <w:spacing w:line="144" w:lineRule="auto"/>
              <w:jc w:val="center"/>
              <w:rPr>
                <w:b/>
                <w:bCs/>
                <w:szCs w:val="21"/>
              </w:rPr>
            </w:pPr>
          </w:p>
        </w:tc>
        <w:tc>
          <w:tcPr>
            <w:tcW w:w="851" w:type="dxa"/>
            <w:vMerge w:val="continue"/>
            <w:vAlign w:val="center"/>
          </w:tcPr>
          <w:p>
            <w:pPr>
              <w:spacing w:line="144" w:lineRule="auto"/>
              <w:jc w:val="center"/>
              <w:rPr>
                <w:b/>
                <w:bCs/>
                <w:szCs w:val="21"/>
              </w:rPr>
            </w:pPr>
          </w:p>
        </w:tc>
        <w:tc>
          <w:tcPr>
            <w:tcW w:w="649"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完全纳管数</w:t>
            </w:r>
          </w:p>
        </w:tc>
        <w:tc>
          <w:tcPr>
            <w:tcW w:w="694"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部分纳管数</w:t>
            </w:r>
          </w:p>
        </w:tc>
        <w:tc>
          <w:tcPr>
            <w:tcW w:w="2508"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2019年纳管名单</w:t>
            </w:r>
          </w:p>
        </w:tc>
        <w:tc>
          <w:tcPr>
            <w:tcW w:w="1623"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2022年完全纳管名单</w:t>
            </w:r>
          </w:p>
        </w:tc>
        <w:tc>
          <w:tcPr>
            <w:tcW w:w="2205"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2022年部分纳管名单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陬市镇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兴盛街居委会、下街居委</w:t>
            </w:r>
          </w:p>
          <w:p>
            <w:pPr>
              <w:spacing w:line="12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会、解放街居委会、李家</w:t>
            </w:r>
          </w:p>
          <w:p>
            <w:pPr>
              <w:spacing w:line="12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洲居委会、洋洲居委会、</w:t>
            </w:r>
          </w:p>
          <w:p>
            <w:pPr>
              <w:spacing w:line="12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万家嘴居委会、上街居委</w:t>
            </w:r>
          </w:p>
          <w:p>
            <w:pPr>
              <w:spacing w:line="12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会、长乐村</w:t>
            </w: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漆河镇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长寿街居委会、仙鹤路居</w:t>
            </w:r>
          </w:p>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委会、仙人山居委会、兴</w:t>
            </w:r>
          </w:p>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隆祠居委会</w:t>
            </w: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沙坪镇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万寿宫居委会、大兴居委会</w:t>
            </w: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金明村、沙坪村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三阳港镇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三阳港村、新湖居委会</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黄石镇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万寿居委会、和平居委会、花园村</w:t>
            </w: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凉井居委会、黄安村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西安镇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闵家坪居委会</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理公港镇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兰溪居委会</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龙潭镇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龙潭居委会、龙中居委会</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剪市镇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中巷口居委会、剪家溪居委会</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茶庵铺镇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桥东居委会、桥西居委会</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盘塘镇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盘龙桥居委会</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热市镇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热水坑居委会</w:t>
            </w: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棠梨岗居委会、郝仙坪居委会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观音寺镇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姚家坪、长潭坪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马鬃岭镇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马鬃岭居委会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架桥镇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东门桥居委会、架桥居委会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夷望溪镇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凌津滩居委会、马石居委会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双溪口镇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黄龙居委会、杨家坪村、龙珠山村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九溪镇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九溪居委会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牛车河镇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柿子坪居委会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杨溪桥镇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杨溪桥居委会</w:t>
            </w: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冷家溪居委会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郑家驿镇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郑家驿居委会</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34" w:type="dxa"/>
            <w:vMerge w:val="restart"/>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086" w:type="dxa"/>
            <w:vMerge w:val="restart"/>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乡镇</w:t>
            </w:r>
          </w:p>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名称</w:t>
            </w:r>
          </w:p>
        </w:tc>
        <w:tc>
          <w:tcPr>
            <w:tcW w:w="851" w:type="dxa"/>
            <w:vMerge w:val="restart"/>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村（居）总数</w:t>
            </w:r>
          </w:p>
        </w:tc>
        <w:tc>
          <w:tcPr>
            <w:tcW w:w="649" w:type="dxa"/>
            <w:vAlign w:val="center"/>
          </w:tcPr>
          <w:p>
            <w:pPr>
              <w:spacing w:line="144" w:lineRule="auto"/>
              <w:jc w:val="center"/>
              <w:rPr>
                <w:rFonts w:asciiTheme="majorEastAsia" w:hAnsiTheme="majorEastAsia" w:eastAsiaTheme="majorEastAsia" w:cstheme="majorEastAsia"/>
                <w:b/>
                <w:bCs/>
                <w:szCs w:val="21"/>
              </w:rPr>
            </w:pPr>
          </w:p>
        </w:tc>
        <w:tc>
          <w:tcPr>
            <w:tcW w:w="694" w:type="dxa"/>
            <w:vAlign w:val="center"/>
          </w:tcPr>
          <w:p>
            <w:pPr>
              <w:spacing w:line="144" w:lineRule="auto"/>
              <w:jc w:val="center"/>
              <w:rPr>
                <w:rFonts w:asciiTheme="majorEastAsia" w:hAnsiTheme="majorEastAsia" w:eastAsiaTheme="majorEastAsia" w:cstheme="majorEastAsia"/>
                <w:b/>
                <w:bCs/>
                <w:szCs w:val="21"/>
              </w:rPr>
            </w:pPr>
          </w:p>
        </w:tc>
        <w:tc>
          <w:tcPr>
            <w:tcW w:w="6336" w:type="dxa"/>
            <w:gridSpan w:val="3"/>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村（居）纳管处理情况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 w:type="dxa"/>
            <w:vMerge w:val="continue"/>
            <w:vAlign w:val="center"/>
          </w:tcPr>
          <w:p>
            <w:pPr>
              <w:spacing w:line="144" w:lineRule="auto"/>
              <w:jc w:val="center"/>
              <w:rPr>
                <w:b/>
                <w:bCs/>
                <w:szCs w:val="21"/>
              </w:rPr>
            </w:pPr>
          </w:p>
        </w:tc>
        <w:tc>
          <w:tcPr>
            <w:tcW w:w="1086" w:type="dxa"/>
            <w:vMerge w:val="continue"/>
            <w:vAlign w:val="center"/>
          </w:tcPr>
          <w:p>
            <w:pPr>
              <w:spacing w:line="144" w:lineRule="auto"/>
              <w:jc w:val="center"/>
              <w:rPr>
                <w:b/>
                <w:bCs/>
                <w:szCs w:val="21"/>
              </w:rPr>
            </w:pPr>
          </w:p>
        </w:tc>
        <w:tc>
          <w:tcPr>
            <w:tcW w:w="851" w:type="dxa"/>
            <w:vMerge w:val="continue"/>
            <w:vAlign w:val="center"/>
          </w:tcPr>
          <w:p>
            <w:pPr>
              <w:spacing w:line="144" w:lineRule="auto"/>
              <w:jc w:val="center"/>
              <w:rPr>
                <w:b/>
                <w:bCs/>
                <w:szCs w:val="21"/>
              </w:rPr>
            </w:pPr>
          </w:p>
        </w:tc>
        <w:tc>
          <w:tcPr>
            <w:tcW w:w="649"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完全纳管数</w:t>
            </w:r>
          </w:p>
        </w:tc>
        <w:tc>
          <w:tcPr>
            <w:tcW w:w="694"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部分纳管数</w:t>
            </w:r>
          </w:p>
        </w:tc>
        <w:tc>
          <w:tcPr>
            <w:tcW w:w="2508"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2019年纳管名单</w:t>
            </w:r>
          </w:p>
        </w:tc>
        <w:tc>
          <w:tcPr>
            <w:tcW w:w="1623"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2022年完全纳管名单</w:t>
            </w:r>
          </w:p>
        </w:tc>
        <w:tc>
          <w:tcPr>
            <w:tcW w:w="2205" w:type="dxa"/>
            <w:vAlign w:val="center"/>
          </w:tcPr>
          <w:p>
            <w:pPr>
              <w:spacing w:line="144"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2022年部分纳管名单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木塘垸镇</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庆兰居委会</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青林乡</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2508" w:type="dxa"/>
          </w:tcPr>
          <w:p>
            <w:pPr>
              <w:spacing w:line="120" w:lineRule="auto"/>
              <w:jc w:val="center"/>
              <w:rPr>
                <w:rFonts w:asciiTheme="majorEastAsia" w:hAnsiTheme="majorEastAsia" w:eastAsiaTheme="majorEastAsia" w:cstheme="majorEastAsia"/>
                <w:szCs w:val="21"/>
              </w:rPr>
            </w:pP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青林村、金堰村、督粮冲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枫树乡</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508" w:type="dxa"/>
          </w:tcPr>
          <w:p>
            <w:pPr>
              <w:spacing w:line="120" w:lineRule="auto"/>
              <w:jc w:val="center"/>
              <w:rPr>
                <w:rFonts w:asciiTheme="majorEastAsia" w:hAnsiTheme="majorEastAsia" w:eastAsiaTheme="majorEastAsia" w:cstheme="majorEastAsia"/>
                <w:szCs w:val="21"/>
              </w:rPr>
            </w:pP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庄家桥村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佘家坪乡</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649" w:type="dxa"/>
            <w:vAlign w:val="center"/>
          </w:tcPr>
          <w:p>
            <w:pPr>
              <w:spacing w:line="120" w:lineRule="auto"/>
              <w:jc w:val="center"/>
              <w:rPr>
                <w:rFonts w:asciiTheme="majorEastAsia" w:hAnsiTheme="majorEastAsia" w:eastAsiaTheme="majorEastAsia" w:cstheme="majorEastAsia"/>
                <w:szCs w:val="21"/>
              </w:rPr>
            </w:pP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2508" w:type="dxa"/>
          </w:tcPr>
          <w:p>
            <w:pPr>
              <w:spacing w:line="120" w:lineRule="auto"/>
              <w:jc w:val="center"/>
              <w:rPr>
                <w:rFonts w:asciiTheme="majorEastAsia" w:hAnsiTheme="majorEastAsia" w:eastAsiaTheme="majorEastAsia" w:cstheme="majorEastAsia"/>
                <w:szCs w:val="21"/>
              </w:rPr>
            </w:pP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南岳殿村、新港村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w:t>
            </w: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泥窝潭乡</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694" w:type="dxa"/>
            <w:vAlign w:val="center"/>
          </w:tcPr>
          <w:p>
            <w:pPr>
              <w:spacing w:line="120" w:lineRule="auto"/>
              <w:jc w:val="center"/>
              <w:rPr>
                <w:rFonts w:asciiTheme="majorEastAsia" w:hAnsiTheme="majorEastAsia" w:eastAsiaTheme="majorEastAsia" w:cstheme="majorEastAsia"/>
                <w:szCs w:val="21"/>
              </w:rPr>
            </w:pPr>
          </w:p>
        </w:tc>
        <w:tc>
          <w:tcPr>
            <w:tcW w:w="2508" w:type="dxa"/>
          </w:tcPr>
          <w:p>
            <w:pPr>
              <w:spacing w:line="120" w:lineRule="auto"/>
              <w:jc w:val="center"/>
              <w:rPr>
                <w:rFonts w:asciiTheme="majorEastAsia" w:hAnsiTheme="majorEastAsia" w:eastAsiaTheme="majorEastAsia" w:cstheme="majorEastAsia"/>
                <w:szCs w:val="21"/>
              </w:rPr>
            </w:pPr>
          </w:p>
        </w:tc>
        <w:tc>
          <w:tcPr>
            <w:tcW w:w="1623" w:type="dxa"/>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五马寨村</w:t>
            </w:r>
          </w:p>
        </w:tc>
        <w:tc>
          <w:tcPr>
            <w:tcW w:w="2205" w:type="dxa"/>
          </w:tcPr>
          <w:p>
            <w:pPr>
              <w:spacing w:line="12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spacing w:line="120" w:lineRule="auto"/>
              <w:jc w:val="center"/>
              <w:rPr>
                <w:rFonts w:asciiTheme="majorEastAsia" w:hAnsiTheme="majorEastAsia" w:eastAsiaTheme="majorEastAsia" w:cstheme="majorEastAsia"/>
                <w:szCs w:val="21"/>
              </w:rPr>
            </w:pPr>
          </w:p>
        </w:tc>
        <w:tc>
          <w:tcPr>
            <w:tcW w:w="1086"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851"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413</w:t>
            </w:r>
          </w:p>
        </w:tc>
        <w:tc>
          <w:tcPr>
            <w:tcW w:w="649"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54</w:t>
            </w:r>
          </w:p>
        </w:tc>
        <w:tc>
          <w:tcPr>
            <w:tcW w:w="694" w:type="dxa"/>
            <w:vAlign w:val="center"/>
          </w:tcPr>
          <w:p>
            <w:pPr>
              <w:spacing w:line="12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w:t>
            </w:r>
          </w:p>
        </w:tc>
        <w:tc>
          <w:tcPr>
            <w:tcW w:w="2508" w:type="dxa"/>
          </w:tcPr>
          <w:p>
            <w:pPr>
              <w:spacing w:line="120" w:lineRule="auto"/>
              <w:jc w:val="center"/>
              <w:rPr>
                <w:rFonts w:asciiTheme="majorEastAsia" w:hAnsiTheme="majorEastAsia" w:eastAsiaTheme="majorEastAsia" w:cstheme="majorEastAsia"/>
                <w:szCs w:val="21"/>
              </w:rPr>
            </w:pPr>
          </w:p>
        </w:tc>
        <w:tc>
          <w:tcPr>
            <w:tcW w:w="1623" w:type="dxa"/>
          </w:tcPr>
          <w:p>
            <w:pPr>
              <w:spacing w:line="120" w:lineRule="auto"/>
              <w:jc w:val="center"/>
              <w:rPr>
                <w:rFonts w:asciiTheme="majorEastAsia" w:hAnsiTheme="majorEastAsia" w:eastAsiaTheme="majorEastAsia" w:cstheme="majorEastAsia"/>
                <w:szCs w:val="21"/>
              </w:rPr>
            </w:pPr>
          </w:p>
        </w:tc>
        <w:tc>
          <w:tcPr>
            <w:tcW w:w="2205" w:type="dxa"/>
          </w:tcPr>
          <w:p>
            <w:pPr>
              <w:spacing w:line="120" w:lineRule="auto"/>
              <w:jc w:val="center"/>
              <w:rPr>
                <w:rFonts w:asciiTheme="majorEastAsia" w:hAnsiTheme="majorEastAsia" w:eastAsiaTheme="majorEastAsia" w:cstheme="majorEastAsia"/>
                <w:szCs w:val="21"/>
              </w:rPr>
            </w:pPr>
          </w:p>
        </w:tc>
      </w:tr>
    </w:tbl>
    <w:p>
      <w:pPr>
        <w:spacing w:line="360" w:lineRule="auto"/>
        <w:jc w:val="left"/>
        <w:rPr>
          <w:rFonts w:ascii="黑体" w:hAnsi="黑体" w:eastAsia="黑体" w:cs="黑体"/>
          <w:sz w:val="30"/>
          <w:szCs w:val="30"/>
        </w:rPr>
      </w:pPr>
    </w:p>
    <w:p>
      <w:pPr>
        <w:spacing w:line="360" w:lineRule="auto"/>
        <w:jc w:val="left"/>
        <w:rPr>
          <w:rFonts w:ascii="黑体" w:hAnsi="黑体" w:eastAsia="黑体" w:cs="黑体"/>
          <w:sz w:val="28"/>
          <w:szCs w:val="28"/>
        </w:rPr>
      </w:pPr>
      <w:r>
        <w:rPr>
          <w:rFonts w:hint="eastAsia" w:ascii="黑体" w:hAnsi="黑体" w:eastAsia="黑体" w:cs="黑体"/>
          <w:sz w:val="28"/>
          <w:szCs w:val="28"/>
        </w:rPr>
        <w:t>4.2.1  选址原则</w:t>
      </w:r>
    </w:p>
    <w:p>
      <w:pPr>
        <w:spacing w:line="500" w:lineRule="exact"/>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（1）集中式处理设施选址原则</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集中式污水处理设施占地相对较大，其位置对于集中点居民布局、环境保护要求、污水出路、污水管网系统的布局、工程的投资和运行管理都有重要意义。集中式污水处理设施选址，除应符合 城镇总体规划和排水工程专业规划要求外，还应考虑以下几个原则：</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1）应符合饮用水水源保护区、自然保护区等生态环境敏感区的有关规定；</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2）应符合国家和地方关于用地、供电、防洪、防雷、防灾等方面的要求；</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3）尽可能设在区域地势较低处，依靠地形坡度和重力流来收集污水，节约收集和运营成本；</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4）应充分结合区域特征，与处理设施出水的受纳水体或农田的实际情况相结合；</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5）节约用地，所占土地原利用价值低，充分考虑荒地、荒塘，尽量少占或不占耕地；</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6）场地工程地质条件好，便于建设施工，避免特殊工程；</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7）尽可能选择在居民分布点主导方向的下风向，并与村民居住地保持适宜的距离，满足相关卫生防护距离要求。</w:t>
      </w:r>
    </w:p>
    <w:p>
      <w:pPr>
        <w:spacing w:line="500" w:lineRule="exact"/>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 xml:space="preserve">（2）分散式处理设施选址原则 </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分散性处理设施选址应考虑以下几个原则：</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1）充分考虑住房周边地形、地势等因素；</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2）结合住房原化粪池位置、排水放方向及水位差，做到自流进水和出水；</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3）所占土地原利用价值低，充分考虑荒地，尽量少占或不占菜地或耕地；</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4）尽量缩短收集管网，减少工程投资。</w:t>
      </w:r>
    </w:p>
    <w:p>
      <w:pPr>
        <w:spacing w:line="540" w:lineRule="exact"/>
        <w:jc w:val="left"/>
        <w:rPr>
          <w:rFonts w:ascii="黑体" w:hAnsi="黑体" w:eastAsia="黑体" w:cs="黑体"/>
          <w:sz w:val="28"/>
          <w:szCs w:val="28"/>
        </w:rPr>
      </w:pPr>
      <w:r>
        <w:rPr>
          <w:rFonts w:hint="eastAsia" w:ascii="黑体" w:hAnsi="黑体" w:eastAsia="黑体" w:cs="黑体"/>
          <w:sz w:val="28"/>
          <w:szCs w:val="28"/>
        </w:rPr>
        <w:t>4.2.2  已建设施合理性分析</w:t>
      </w:r>
    </w:p>
    <w:p>
      <w:pPr>
        <w:spacing w:line="54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已建成集中式污水处理站12座，三格式化粪池28494套，四格式净化系统2259套。现有集中式污水处理站均位于远离城镇村庄中的人口聚集区，设施出水基本为处理达标后经沟渠排入附近水体或用于农田灌溉。目前处理效果整体较好，根据第三方检测机构检测结果，设计规模20吨以上处理设施设施出水达标率为100%。现有集中式污水处理站出水执行的标准为《城镇污水处理厂污 染物排放标准》（GB18918-2002）一级B标准，该排放标准相关因子限值未超出本规划设定的相应排放标准要求，因此不需要进行改造。上述已建污水处理设施将纳入本规划范围统筹考虑。</w:t>
      </w:r>
    </w:p>
    <w:p>
      <w:pPr>
        <w:spacing w:line="540" w:lineRule="exact"/>
        <w:jc w:val="left"/>
        <w:rPr>
          <w:rFonts w:ascii="黑体" w:hAnsi="黑体" w:eastAsia="黑体" w:cs="黑体"/>
          <w:sz w:val="30"/>
          <w:szCs w:val="30"/>
        </w:rPr>
      </w:pPr>
      <w:r>
        <w:rPr>
          <w:rFonts w:hint="eastAsia" w:ascii="黑体" w:hAnsi="黑体" w:eastAsia="黑体" w:cs="黑体"/>
          <w:sz w:val="30"/>
          <w:szCs w:val="30"/>
        </w:rPr>
        <w:t>4.3  污水收集系统建设</w:t>
      </w:r>
    </w:p>
    <w:p>
      <w:pPr>
        <w:spacing w:line="540" w:lineRule="exact"/>
        <w:jc w:val="left"/>
        <w:rPr>
          <w:rFonts w:ascii="黑体" w:hAnsi="黑体" w:eastAsia="黑体" w:cs="黑体"/>
          <w:sz w:val="28"/>
          <w:szCs w:val="28"/>
        </w:rPr>
      </w:pPr>
      <w:r>
        <w:rPr>
          <w:rFonts w:hint="eastAsia" w:ascii="黑体" w:hAnsi="黑体" w:eastAsia="黑体" w:cs="黑体"/>
          <w:sz w:val="28"/>
          <w:szCs w:val="28"/>
        </w:rPr>
        <w:t>4.3.1  排水体制</w:t>
      </w:r>
    </w:p>
    <w:p>
      <w:pPr>
        <w:spacing w:line="54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根据项目区内各村的排水现状，本规划推荐采用不完全分流制的排水体制。充分利用现有沟渠 塘系统作为雨水收集系统，新建黑水和灰水收集的污水管网。</w:t>
      </w:r>
    </w:p>
    <w:p>
      <w:pPr>
        <w:spacing w:line="540" w:lineRule="exact"/>
        <w:jc w:val="left"/>
        <w:rPr>
          <w:rFonts w:ascii="黑体" w:hAnsi="黑体" w:eastAsia="黑体" w:cs="黑体"/>
          <w:sz w:val="28"/>
          <w:szCs w:val="28"/>
        </w:rPr>
      </w:pPr>
      <w:r>
        <w:rPr>
          <w:rFonts w:hint="eastAsia" w:ascii="黑体" w:hAnsi="黑体" w:eastAsia="黑体" w:cs="黑体"/>
          <w:sz w:val="28"/>
          <w:szCs w:val="28"/>
        </w:rPr>
        <w:t>4.3.2  收集系统建设原则</w:t>
      </w:r>
    </w:p>
    <w:p>
      <w:pPr>
        <w:spacing w:line="54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（1）结合农村实际设计污水收集系统，对不完善的管网进行改造，严格实行雨污分流。</w:t>
      </w:r>
    </w:p>
    <w:p>
      <w:pPr>
        <w:spacing w:line="54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（2）统筹改厕与污水收集处理。推行“厕所分户改造、污水集中处理，与单户粪污分散处理相结合”的方式。新建农村住房必须配套建设化粪池，原有未配套化粪池或化粪池建设不符合要求 的农户，须根据农村改厕工程安排实施。对化粪池出水进行收集、利用和处理，根据污水产生量、 利用情况和村庄布局，确定是否建设统一收集管网。</w:t>
      </w:r>
    </w:p>
    <w:p>
      <w:pPr>
        <w:spacing w:line="54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（3）采用分散处理与资源化利用模式的农户必须严格做到“黑灰”分离；采用纳管处理和集 中治理达标排放模式的农户原则要求做到“黑灰”分离，“黑水”尽可能实现就近资源化利用；不 能实现“黑灰”分离的必须增加化粪池容积。</w:t>
      </w:r>
    </w:p>
    <w:p>
      <w:pPr>
        <w:spacing w:line="54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（4）优先采用顺坡就势等建设成本低、施工速度快的管道布设方式。结合村庄规划、地形标 高、排水流向，按照接管短、埋深合理、尽可能利用重力自流的原则布置污水管道。对不能利用重 力自流排水的地区，根据服务范围和处理设施位置确定提升设施的位置。</w:t>
      </w:r>
    </w:p>
    <w:p>
      <w:pPr>
        <w:spacing w:line="54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（5）利用池塘、沟渠等自然水体消纳生活污水的必须确保不形成黑臭水体。</w:t>
      </w:r>
    </w:p>
    <w:p>
      <w:pPr>
        <w:spacing w:line="560" w:lineRule="exact"/>
        <w:jc w:val="left"/>
        <w:rPr>
          <w:rFonts w:ascii="黑体" w:hAnsi="黑体" w:eastAsia="黑体" w:cs="黑体"/>
          <w:sz w:val="28"/>
          <w:szCs w:val="28"/>
        </w:rPr>
      </w:pPr>
      <w:r>
        <w:rPr>
          <w:rFonts w:hint="eastAsia" w:ascii="黑体" w:hAnsi="黑体" w:eastAsia="黑体" w:cs="黑体"/>
          <w:sz w:val="28"/>
          <w:szCs w:val="28"/>
        </w:rPr>
        <w:t>4.3.3  农村生活污水收集系统</w:t>
      </w:r>
    </w:p>
    <w:p>
      <w:pPr>
        <w:spacing w:line="5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按照村庄居民生活习惯和村落的基本情况和工程应用实际情况，生活污水收集系统可分为单户 收集系统、多户收集系统和农村居民集中点收集系统。若涉及农家乐或餐饮经营户，则必须设置隔 油池，若为普通住户，可不设隔油池。</w:t>
      </w:r>
    </w:p>
    <w:p>
      <w:pPr>
        <w:spacing w:line="5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（1）单户收集系统一般污水量不大于 0.5m³/d，服务人口 5 人以下，服务家庭户数 1 户。</w:t>
      </w:r>
    </w:p>
    <w:p>
      <w:pPr>
        <w:spacing w:line="540" w:lineRule="exact"/>
        <w:ind w:firstLine="420" w:firstLineChars="200"/>
        <w:jc w:val="left"/>
        <w:rPr>
          <w:rFonts w:asciiTheme="majorEastAsia" w:hAnsiTheme="majorEastAsia" w:eastAsiaTheme="majorEastAsia" w:cstheme="majorEastAsia"/>
          <w:sz w:val="22"/>
          <w:szCs w:val="22"/>
        </w:rPr>
      </w:pPr>
      <w:r>
        <w:drawing>
          <wp:anchor distT="0" distB="0" distL="114935" distR="114935" simplePos="0" relativeHeight="251659264" behindDoc="0" locked="0" layoutInCell="1" allowOverlap="1">
            <wp:simplePos x="0" y="0"/>
            <wp:positionH relativeFrom="column">
              <wp:posOffset>914400</wp:posOffset>
            </wp:positionH>
            <wp:positionV relativeFrom="paragraph">
              <wp:posOffset>217170</wp:posOffset>
            </wp:positionV>
            <wp:extent cx="4483735" cy="1311910"/>
            <wp:effectExtent l="0" t="0" r="12065" b="254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cstate="print"/>
                    <a:stretch>
                      <a:fillRect/>
                    </a:stretch>
                  </pic:blipFill>
                  <pic:spPr>
                    <a:xfrm>
                      <a:off x="0" y="0"/>
                      <a:ext cx="4483735" cy="1311910"/>
                    </a:xfrm>
                    <a:prstGeom prst="rect">
                      <a:avLst/>
                    </a:prstGeom>
                    <a:noFill/>
                    <a:ln w="9525">
                      <a:noFill/>
                    </a:ln>
                  </pic:spPr>
                </pic:pic>
              </a:graphicData>
            </a:graphic>
          </wp:anchor>
        </w:drawing>
      </w:r>
    </w:p>
    <w:p>
      <w:pPr>
        <w:spacing w:line="360" w:lineRule="auto"/>
        <w:ind w:firstLine="440" w:firstLineChars="200"/>
        <w:jc w:val="left"/>
        <w:rPr>
          <w:rFonts w:asciiTheme="majorEastAsia" w:hAnsiTheme="majorEastAsia" w:eastAsiaTheme="majorEastAsia" w:cstheme="majorEastAsia"/>
          <w:sz w:val="22"/>
          <w:szCs w:val="22"/>
        </w:rPr>
      </w:pPr>
    </w:p>
    <w:p>
      <w:pPr>
        <w:spacing w:line="360" w:lineRule="auto"/>
        <w:ind w:firstLine="440" w:firstLineChars="200"/>
        <w:jc w:val="left"/>
        <w:rPr>
          <w:rFonts w:asciiTheme="majorEastAsia" w:hAnsiTheme="majorEastAsia" w:eastAsiaTheme="majorEastAsia" w:cstheme="majorEastAsia"/>
          <w:sz w:val="22"/>
          <w:szCs w:val="22"/>
        </w:rPr>
      </w:pPr>
    </w:p>
    <w:p>
      <w:pPr>
        <w:spacing w:line="360" w:lineRule="auto"/>
        <w:ind w:firstLine="440" w:firstLineChars="200"/>
        <w:jc w:val="left"/>
        <w:rPr>
          <w:rFonts w:asciiTheme="majorEastAsia" w:hAnsiTheme="majorEastAsia" w:eastAsiaTheme="majorEastAsia" w:cstheme="majorEastAsia"/>
          <w:sz w:val="22"/>
          <w:szCs w:val="22"/>
        </w:rPr>
      </w:pPr>
    </w:p>
    <w:p>
      <w:pPr>
        <w:spacing w:line="560" w:lineRule="exact"/>
        <w:rPr>
          <w:rFonts w:asciiTheme="majorEastAsia" w:hAnsiTheme="majorEastAsia" w:eastAsiaTheme="majorEastAsia" w:cstheme="majorEastAsia"/>
          <w:b/>
          <w:bCs/>
          <w:sz w:val="22"/>
          <w:szCs w:val="22"/>
        </w:rPr>
      </w:pPr>
    </w:p>
    <w:p>
      <w:pPr>
        <w:spacing w:line="560" w:lineRule="exact"/>
        <w:ind w:firstLine="442" w:firstLineChars="200"/>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图 4-1 单户式污水收集系统示意图</w:t>
      </w:r>
    </w:p>
    <w:p>
      <w:pPr>
        <w:spacing w:line="560" w:lineRule="exact"/>
        <w:ind w:right="-81"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（2）多户收集系统一般污水量不大于5</w:t>
      </w:r>
      <w:r>
        <w:rPr>
          <w:rFonts w:hint="eastAsia" w:asciiTheme="majorEastAsia" w:hAnsiTheme="majorEastAsia" w:eastAsiaTheme="majorEastAsia" w:cstheme="majorEastAsia"/>
          <w:spacing w:val="-2"/>
          <w:sz w:val="22"/>
          <w:szCs w:val="22"/>
        </w:rPr>
        <w:t>m</w:t>
      </w:r>
      <w:r>
        <w:rPr>
          <w:rFonts w:hint="eastAsia" w:asciiTheme="majorEastAsia" w:hAnsiTheme="majorEastAsia" w:eastAsiaTheme="majorEastAsia" w:cstheme="majorEastAsia"/>
          <w:sz w:val="22"/>
          <w:szCs w:val="22"/>
        </w:rPr>
        <w:t>³</w:t>
      </w:r>
      <w:r>
        <w:rPr>
          <w:rFonts w:hint="eastAsia" w:asciiTheme="majorEastAsia" w:hAnsiTheme="majorEastAsia" w:eastAsiaTheme="majorEastAsia" w:cstheme="majorEastAsia"/>
          <w:spacing w:val="1"/>
          <w:sz w:val="22"/>
          <w:szCs w:val="22"/>
        </w:rPr>
        <w:t>/</w:t>
      </w:r>
      <w:r>
        <w:rPr>
          <w:rFonts w:hint="eastAsia" w:asciiTheme="majorEastAsia" w:hAnsiTheme="majorEastAsia" w:eastAsiaTheme="majorEastAsia" w:cstheme="majorEastAsia"/>
          <w:sz w:val="22"/>
          <w:szCs w:val="22"/>
        </w:rPr>
        <w:t>d</w:t>
      </w:r>
      <w:r>
        <w:rPr>
          <w:rFonts w:hint="eastAsia" w:asciiTheme="majorEastAsia" w:hAnsiTheme="majorEastAsia" w:eastAsiaTheme="majorEastAsia" w:cstheme="majorEastAsia"/>
          <w:spacing w:val="-60"/>
          <w:sz w:val="22"/>
          <w:szCs w:val="22"/>
        </w:rPr>
        <w:t>，</w:t>
      </w:r>
      <w:r>
        <w:rPr>
          <w:rFonts w:hint="eastAsia" w:asciiTheme="majorEastAsia" w:hAnsiTheme="majorEastAsia" w:eastAsiaTheme="majorEastAsia" w:cstheme="majorEastAsia"/>
          <w:sz w:val="22"/>
          <w:szCs w:val="22"/>
        </w:rPr>
        <w:t>服务人口50 人以下</w:t>
      </w:r>
      <w:r>
        <w:rPr>
          <w:rFonts w:hint="eastAsia" w:asciiTheme="majorEastAsia" w:hAnsiTheme="majorEastAsia" w:eastAsiaTheme="majorEastAsia" w:cstheme="majorEastAsia"/>
          <w:spacing w:val="-58"/>
          <w:sz w:val="22"/>
          <w:szCs w:val="22"/>
        </w:rPr>
        <w:t>，</w:t>
      </w:r>
      <w:r>
        <w:rPr>
          <w:rFonts w:hint="eastAsia" w:asciiTheme="majorEastAsia" w:hAnsiTheme="majorEastAsia" w:eastAsiaTheme="majorEastAsia" w:cstheme="majorEastAsia"/>
          <w:sz w:val="22"/>
          <w:szCs w:val="22"/>
        </w:rPr>
        <w:t>服务农户户数2～10户，污水处理设施布置在村落中；在单户收集系统基础上，将各户的污水用管道引入污水处理设施。</w:t>
      </w:r>
    </w:p>
    <w:p>
      <w:pPr>
        <w:spacing w:line="360" w:lineRule="auto"/>
        <w:ind w:firstLine="420" w:firstLineChars="200"/>
        <w:jc w:val="center"/>
        <w:rPr>
          <w:rFonts w:asciiTheme="majorEastAsia" w:hAnsiTheme="majorEastAsia" w:eastAsiaTheme="majorEastAsia" w:cstheme="majorEastAsia"/>
          <w:b/>
          <w:bCs/>
          <w:sz w:val="22"/>
          <w:szCs w:val="22"/>
        </w:rPr>
      </w:pPr>
      <w:r>
        <w:drawing>
          <wp:anchor distT="0" distB="0" distL="114300" distR="114300" simplePos="0" relativeHeight="251661312" behindDoc="1" locked="0" layoutInCell="1" allowOverlap="1">
            <wp:simplePos x="0" y="0"/>
            <wp:positionH relativeFrom="page">
              <wp:posOffset>966470</wp:posOffset>
            </wp:positionH>
            <wp:positionV relativeFrom="paragraph">
              <wp:posOffset>252095</wp:posOffset>
            </wp:positionV>
            <wp:extent cx="5433060" cy="2362200"/>
            <wp:effectExtent l="0" t="0" r="1524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cstate="print"/>
                    <a:stretch>
                      <a:fillRect/>
                    </a:stretch>
                  </pic:blipFill>
                  <pic:spPr>
                    <a:xfrm>
                      <a:off x="0" y="0"/>
                      <a:ext cx="5433060" cy="2362200"/>
                    </a:xfrm>
                    <a:prstGeom prst="rect">
                      <a:avLst/>
                    </a:prstGeom>
                    <a:noFill/>
                    <a:ln w="9525">
                      <a:noFill/>
                    </a:ln>
                  </pic:spPr>
                </pic:pic>
              </a:graphicData>
            </a:graphic>
          </wp:anchor>
        </w:drawing>
      </w:r>
    </w:p>
    <w:p>
      <w:pPr>
        <w:spacing w:line="360" w:lineRule="auto"/>
        <w:ind w:firstLine="442" w:firstLineChars="200"/>
        <w:jc w:val="center"/>
        <w:rPr>
          <w:rFonts w:asciiTheme="majorEastAsia" w:hAnsiTheme="majorEastAsia" w:eastAsiaTheme="majorEastAsia" w:cstheme="majorEastAsia"/>
          <w:b/>
          <w:bCs/>
          <w:sz w:val="22"/>
          <w:szCs w:val="22"/>
        </w:rPr>
      </w:pPr>
    </w:p>
    <w:p>
      <w:pPr>
        <w:spacing w:line="360" w:lineRule="auto"/>
        <w:ind w:firstLine="442" w:firstLineChars="200"/>
        <w:jc w:val="center"/>
        <w:rPr>
          <w:rFonts w:asciiTheme="majorEastAsia" w:hAnsiTheme="majorEastAsia" w:eastAsiaTheme="majorEastAsia" w:cstheme="majorEastAsia"/>
          <w:b/>
          <w:bCs/>
          <w:sz w:val="22"/>
          <w:szCs w:val="22"/>
        </w:rPr>
      </w:pPr>
    </w:p>
    <w:p>
      <w:pPr>
        <w:spacing w:line="360" w:lineRule="auto"/>
        <w:ind w:firstLine="442" w:firstLineChars="200"/>
        <w:jc w:val="center"/>
        <w:rPr>
          <w:rFonts w:asciiTheme="majorEastAsia" w:hAnsiTheme="majorEastAsia" w:eastAsiaTheme="majorEastAsia" w:cstheme="majorEastAsia"/>
          <w:b/>
          <w:bCs/>
          <w:sz w:val="22"/>
          <w:szCs w:val="22"/>
        </w:rPr>
      </w:pPr>
    </w:p>
    <w:p>
      <w:pPr>
        <w:spacing w:line="360" w:lineRule="auto"/>
        <w:ind w:firstLine="442" w:firstLineChars="200"/>
        <w:jc w:val="center"/>
        <w:rPr>
          <w:rFonts w:asciiTheme="majorEastAsia" w:hAnsiTheme="majorEastAsia" w:eastAsiaTheme="majorEastAsia" w:cstheme="majorEastAsia"/>
          <w:b/>
          <w:bCs/>
          <w:sz w:val="22"/>
          <w:szCs w:val="22"/>
        </w:rPr>
      </w:pPr>
    </w:p>
    <w:p>
      <w:pPr>
        <w:spacing w:line="360" w:lineRule="auto"/>
        <w:ind w:firstLine="442" w:firstLineChars="200"/>
        <w:jc w:val="center"/>
        <w:rPr>
          <w:rFonts w:asciiTheme="majorEastAsia" w:hAnsiTheme="majorEastAsia" w:eastAsiaTheme="majorEastAsia" w:cstheme="majorEastAsia"/>
          <w:b/>
          <w:bCs/>
          <w:sz w:val="22"/>
          <w:szCs w:val="22"/>
        </w:rPr>
      </w:pPr>
    </w:p>
    <w:p>
      <w:pPr>
        <w:spacing w:line="360" w:lineRule="auto"/>
        <w:ind w:firstLine="442" w:firstLineChars="200"/>
        <w:jc w:val="center"/>
        <w:rPr>
          <w:rFonts w:asciiTheme="majorEastAsia" w:hAnsiTheme="majorEastAsia" w:eastAsiaTheme="majorEastAsia" w:cstheme="majorEastAsia"/>
          <w:b/>
          <w:bCs/>
          <w:sz w:val="22"/>
          <w:szCs w:val="22"/>
        </w:rPr>
      </w:pPr>
    </w:p>
    <w:p>
      <w:pPr>
        <w:spacing w:line="360" w:lineRule="auto"/>
        <w:ind w:firstLine="442" w:firstLineChars="200"/>
        <w:jc w:val="center"/>
        <w:rPr>
          <w:rFonts w:asciiTheme="majorEastAsia" w:hAnsiTheme="majorEastAsia" w:eastAsiaTheme="majorEastAsia" w:cstheme="majorEastAsia"/>
          <w:b/>
          <w:bCs/>
          <w:sz w:val="22"/>
          <w:szCs w:val="22"/>
        </w:rPr>
      </w:pPr>
    </w:p>
    <w:p>
      <w:pPr>
        <w:spacing w:line="560" w:lineRule="exact"/>
        <w:ind w:firstLine="442" w:firstLineChars="200"/>
        <w:jc w:val="center"/>
        <w:rPr>
          <w:rFonts w:asciiTheme="majorEastAsia" w:hAnsiTheme="majorEastAsia" w:eastAsiaTheme="majorEastAsia" w:cstheme="majorEastAsia"/>
          <w:b/>
          <w:bCs/>
          <w:sz w:val="22"/>
          <w:szCs w:val="22"/>
        </w:rPr>
      </w:pPr>
    </w:p>
    <w:p>
      <w:pPr>
        <w:spacing w:line="560" w:lineRule="exact"/>
        <w:ind w:firstLine="442" w:firstLineChars="200"/>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图 4-2 多户式污水收集系统示意图</w:t>
      </w:r>
    </w:p>
    <w:p>
      <w:pPr>
        <w:numPr>
          <w:ilvl w:val="0"/>
          <w:numId w:val="3"/>
        </w:numPr>
        <w:spacing w:line="5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集中点收集系统服务农户户数 10户以上的集中点；网管设置在单户收集系统基础上，将 各户的污水用管道引入污水处理设施。</w:t>
      </w:r>
    </w:p>
    <w:p>
      <w:pPr>
        <w:spacing w:line="560" w:lineRule="exact"/>
        <w:jc w:val="center"/>
        <w:rPr>
          <w:rFonts w:asciiTheme="majorEastAsia" w:hAnsiTheme="majorEastAsia" w:eastAsiaTheme="majorEastAsia" w:cstheme="majorEastAsia"/>
          <w:b/>
          <w:bCs/>
          <w:sz w:val="22"/>
          <w:szCs w:val="22"/>
        </w:rPr>
      </w:pPr>
      <w:r>
        <w:drawing>
          <wp:anchor distT="0" distB="0" distL="114300" distR="114300" simplePos="0" relativeHeight="251660288" behindDoc="1" locked="0" layoutInCell="1" allowOverlap="1">
            <wp:simplePos x="0" y="0"/>
            <wp:positionH relativeFrom="column">
              <wp:posOffset>-304800</wp:posOffset>
            </wp:positionH>
            <wp:positionV relativeFrom="paragraph">
              <wp:posOffset>-36830</wp:posOffset>
            </wp:positionV>
            <wp:extent cx="6603365" cy="2002155"/>
            <wp:effectExtent l="0" t="0" r="6985" b="17145"/>
            <wp:wrapTight wrapText="bothSides">
              <wp:wrapPolygon>
                <wp:start x="0" y="0"/>
                <wp:lineTo x="0" y="21374"/>
                <wp:lineTo x="21561" y="21374"/>
                <wp:lineTo x="21561"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cstate="print"/>
                    <a:stretch>
                      <a:fillRect/>
                    </a:stretch>
                  </pic:blipFill>
                  <pic:spPr>
                    <a:xfrm>
                      <a:off x="0" y="0"/>
                      <a:ext cx="6603365" cy="2002155"/>
                    </a:xfrm>
                    <a:prstGeom prst="rect">
                      <a:avLst/>
                    </a:prstGeom>
                    <a:noFill/>
                    <a:ln w="9525">
                      <a:noFill/>
                    </a:ln>
                  </pic:spPr>
                </pic:pic>
              </a:graphicData>
            </a:graphic>
          </wp:anchor>
        </w:drawing>
      </w:r>
      <w:r>
        <w:rPr>
          <w:rFonts w:hint="eastAsia" w:asciiTheme="majorEastAsia" w:hAnsiTheme="majorEastAsia" w:eastAsiaTheme="majorEastAsia" w:cstheme="majorEastAsia"/>
          <w:b/>
          <w:bCs/>
          <w:sz w:val="22"/>
          <w:szCs w:val="22"/>
        </w:rPr>
        <w:t>图 4-3 居民集中点污水收集系统示意图</w:t>
      </w:r>
    </w:p>
    <w:p>
      <w:pPr>
        <w:spacing w:line="680" w:lineRule="exact"/>
        <w:jc w:val="left"/>
        <w:rPr>
          <w:rFonts w:ascii="黑体" w:hAnsi="黑体" w:eastAsia="黑体" w:cs="黑体"/>
          <w:sz w:val="30"/>
          <w:szCs w:val="30"/>
        </w:rPr>
      </w:pPr>
      <w:r>
        <w:rPr>
          <w:rFonts w:hint="eastAsia" w:ascii="黑体" w:hAnsi="黑体" w:eastAsia="黑体" w:cs="黑体"/>
          <w:sz w:val="30"/>
          <w:szCs w:val="30"/>
        </w:rPr>
        <w:t>4.4  污水处理技术工艺选择</w:t>
      </w:r>
    </w:p>
    <w:p>
      <w:pPr>
        <w:spacing w:line="680" w:lineRule="exact"/>
        <w:jc w:val="left"/>
        <w:rPr>
          <w:rFonts w:asciiTheme="majorEastAsia" w:hAnsiTheme="majorEastAsia" w:eastAsiaTheme="majorEastAsia" w:cstheme="majorEastAsia"/>
          <w:sz w:val="22"/>
          <w:szCs w:val="22"/>
        </w:rPr>
      </w:pPr>
      <w:r>
        <w:rPr>
          <w:rFonts w:hint="eastAsia" w:ascii="黑体" w:hAnsi="黑体" w:eastAsia="黑体" w:cs="黑体"/>
          <w:sz w:val="28"/>
          <w:szCs w:val="28"/>
        </w:rPr>
        <w:t>4.4.1  工艺选择原则</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污水处理工艺方案的优化选择是确保污水处理系统运行性能、确保出水水质、降低费用的关键， 需从整体优化的观念出发，结合设计规模、污水水质特性以及当地的实际条件和要求，并借鉴类似 工程的成功经验，选择切实可行的处理工艺方案，在确定处理工艺的过程中应遵照以下原则：</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（1）鼓励优先选择氮磷资源化与尾水利用的技术手段或途径。厕所粪污经过无害化处理后， 可通过堆肥等方式，就地就近用于庭院绿化和农田灌溉等。可通过农田沟渠、塘堰等排灌系统生态化改造，栽种水生植物，建设植物隔离带等，对尾水进一步利用和净化。</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（2）根据村庄自然地理条件、居民分布、污水治理规模、排放标准、经济水平等因素，选择适宜当地的污水处理技术工艺。</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（3）尽量采用低成本、低能耗、易维护、高效率的汚水处理技术。有条件的地区，可采用人工湿地、氧化塘等无动力或微动力处理工艺。</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（4）农家乐、农家院等农村餐饮服务点、民宿等需配备隔油池（器），对污水进行预处理。</w:t>
      </w:r>
    </w:p>
    <w:p>
      <w:pPr>
        <w:spacing w:line="660" w:lineRule="exact"/>
        <w:jc w:val="left"/>
        <w:rPr>
          <w:rFonts w:ascii="黑体" w:hAnsi="黑体" w:eastAsia="黑体" w:cs="黑体"/>
          <w:sz w:val="28"/>
          <w:szCs w:val="28"/>
        </w:rPr>
      </w:pPr>
      <w:r>
        <w:rPr>
          <w:rFonts w:hint="eastAsia" w:ascii="黑体" w:hAnsi="黑体" w:eastAsia="黑体" w:cs="黑体"/>
          <w:sz w:val="28"/>
          <w:szCs w:val="28"/>
        </w:rPr>
        <w:t>4.4.2  工艺比选</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目前国内采用的农村生活污水处理技术种类繁多，应根据桃源县实际情况，因村因地制宜，选 择适宜的处理工艺。如位于生态敏感区，排水水质要求高或用地非常紧张的地区，可采用 A</w:t>
      </w:r>
      <w:r>
        <w:rPr>
          <w:rFonts w:hint="eastAsia" w:asciiTheme="majorEastAsia" w:hAnsiTheme="majorEastAsia" w:eastAsiaTheme="majorEastAsia" w:cstheme="majorEastAsia"/>
          <w:sz w:val="22"/>
          <w:szCs w:val="22"/>
          <w:vertAlign w:val="superscript"/>
        </w:rPr>
        <w:t>2</w:t>
      </w:r>
      <w:r>
        <w:rPr>
          <w:rFonts w:hint="eastAsia" w:asciiTheme="majorEastAsia" w:hAnsiTheme="majorEastAsia" w:eastAsiaTheme="majorEastAsia" w:cstheme="majorEastAsia"/>
          <w:sz w:val="22"/>
          <w:szCs w:val="22"/>
        </w:rPr>
        <w:t>/O 一体化处理装置的工艺。排水水质要求相对没那没高且用地没那么紧张的地区，可选择运行费用低、 易于管理维护的人工湿地或稳定塘工艺。</w:t>
      </w:r>
    </w:p>
    <w:p>
      <w:pPr>
        <w:spacing w:line="500" w:lineRule="exact"/>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表 4- 3  桃源县农村污水处理工艺推荐表</w:t>
      </w:r>
    </w:p>
    <w:tbl>
      <w:tblPr>
        <w:tblStyle w:val="6"/>
        <w:tblW w:w="10215"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775"/>
        <w:gridCol w:w="2010"/>
        <w:gridCol w:w="264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spacing w:line="5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规模</w:t>
            </w:r>
          </w:p>
        </w:tc>
        <w:tc>
          <w:tcPr>
            <w:tcW w:w="2775" w:type="dxa"/>
            <w:vAlign w:val="center"/>
          </w:tcPr>
          <w:p>
            <w:pPr>
              <w:spacing w:line="5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排水标准</w:t>
            </w:r>
          </w:p>
        </w:tc>
        <w:tc>
          <w:tcPr>
            <w:tcW w:w="2010" w:type="dxa"/>
            <w:vAlign w:val="center"/>
          </w:tcPr>
          <w:p>
            <w:pPr>
              <w:spacing w:line="5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处理模式</w:t>
            </w:r>
          </w:p>
        </w:tc>
        <w:tc>
          <w:tcPr>
            <w:tcW w:w="2640" w:type="dxa"/>
            <w:vAlign w:val="center"/>
          </w:tcPr>
          <w:p>
            <w:pPr>
              <w:spacing w:line="5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优点</w:t>
            </w:r>
          </w:p>
        </w:tc>
        <w:tc>
          <w:tcPr>
            <w:tcW w:w="1830" w:type="dxa"/>
            <w:vAlign w:val="center"/>
          </w:tcPr>
          <w:p>
            <w:pPr>
              <w:spacing w:line="5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60" w:type="dxa"/>
            <w:vMerge w:val="restart"/>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集中式</w:t>
            </w:r>
          </w:p>
        </w:tc>
        <w:tc>
          <w:tcPr>
            <w:tcW w:w="2775" w:type="dxa"/>
            <w:vMerge w:val="restart"/>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《农村生活污水处理设施水 污染物排放标准》一级标准</w:t>
            </w:r>
          </w:p>
        </w:tc>
        <w:tc>
          <w:tcPr>
            <w:tcW w:w="2010"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A²/O一体化处理</w:t>
            </w:r>
          </w:p>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装置</w:t>
            </w:r>
          </w:p>
        </w:tc>
        <w:tc>
          <w:tcPr>
            <w:tcW w:w="2640"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处理负荷高、效果好、达标稳定性好、占地面积少。</w:t>
            </w:r>
          </w:p>
        </w:tc>
        <w:tc>
          <w:tcPr>
            <w:tcW w:w="1830" w:type="dxa"/>
            <w:vAlign w:val="center"/>
          </w:tcPr>
          <w:p>
            <w:pPr>
              <w:spacing w:line="400" w:lineRule="exact"/>
              <w:jc w:val="left"/>
              <w:rPr>
                <w:rFonts w:asciiTheme="majorEastAsia" w:hAnsiTheme="majorEastAsia" w:eastAsiaTheme="majorEastAsia" w:cstheme="majorEastAsia"/>
                <w:sz w:val="22"/>
                <w:szCs w:val="22"/>
              </w:rPr>
            </w:pPr>
            <w:r>
              <w:rPr>
                <w:rFonts w:hint="eastAsia" w:ascii="宋体" w:hAnsi="宋体" w:eastAsia="宋体"/>
              </w:rPr>
              <w:t>建设成本高、运行费用高、运行管理复杂难度大。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60" w:type="dxa"/>
            <w:vMerge w:val="continue"/>
            <w:vAlign w:val="center"/>
          </w:tcPr>
          <w:p>
            <w:pPr>
              <w:spacing w:line="400" w:lineRule="exact"/>
              <w:jc w:val="center"/>
              <w:rPr>
                <w:rFonts w:asciiTheme="majorEastAsia" w:hAnsiTheme="majorEastAsia" w:eastAsiaTheme="majorEastAsia" w:cstheme="majorEastAsia"/>
                <w:szCs w:val="21"/>
              </w:rPr>
            </w:pPr>
          </w:p>
        </w:tc>
        <w:tc>
          <w:tcPr>
            <w:tcW w:w="2775" w:type="dxa"/>
            <w:vMerge w:val="continue"/>
            <w:vAlign w:val="center"/>
          </w:tcPr>
          <w:p>
            <w:pPr>
              <w:spacing w:line="400" w:lineRule="exact"/>
              <w:jc w:val="center"/>
              <w:rPr>
                <w:rFonts w:asciiTheme="majorEastAsia" w:hAnsiTheme="majorEastAsia" w:eastAsiaTheme="majorEastAsia" w:cstheme="majorEastAsia"/>
                <w:szCs w:val="21"/>
              </w:rPr>
            </w:pPr>
          </w:p>
        </w:tc>
        <w:tc>
          <w:tcPr>
            <w:tcW w:w="2010"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2640"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处理效果好、运行费用低、</w:t>
            </w:r>
          </w:p>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管理维护简便。</w:t>
            </w:r>
          </w:p>
        </w:tc>
        <w:tc>
          <w:tcPr>
            <w:tcW w:w="1830" w:type="dxa"/>
            <w:vAlign w:val="center"/>
          </w:tcPr>
          <w:p>
            <w:pPr>
              <w:spacing w:line="400" w:lineRule="exact"/>
              <w:jc w:val="center"/>
              <w:rPr>
                <w:rFonts w:asciiTheme="majorEastAsia" w:hAnsiTheme="majorEastAsia" w:eastAsiaTheme="majorEastAsia" w:cstheme="majorEastAsia"/>
                <w:sz w:val="22"/>
                <w:szCs w:val="22"/>
              </w:rPr>
            </w:pPr>
            <w:r>
              <w:rPr>
                <w:rFonts w:hint="eastAsia" w:ascii="宋体" w:hAnsi="宋体" w:eastAsia="宋体"/>
              </w:rPr>
              <w:t>建设成本较高，占地面积较大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vAlign w:val="center"/>
          </w:tcPr>
          <w:p>
            <w:pPr>
              <w:spacing w:line="400" w:lineRule="exact"/>
              <w:jc w:val="center"/>
              <w:rPr>
                <w:rFonts w:asciiTheme="majorEastAsia" w:hAnsiTheme="majorEastAsia" w:eastAsiaTheme="majorEastAsia" w:cstheme="majorEastAsia"/>
                <w:szCs w:val="21"/>
              </w:rPr>
            </w:pPr>
          </w:p>
        </w:tc>
        <w:tc>
          <w:tcPr>
            <w:tcW w:w="2775"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《农村生活污水处理设施水</w:t>
            </w:r>
          </w:p>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污染物排放标准》二级标准</w:t>
            </w:r>
          </w:p>
        </w:tc>
        <w:tc>
          <w:tcPr>
            <w:tcW w:w="2010"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（稳定塘）</w:t>
            </w:r>
          </w:p>
        </w:tc>
        <w:tc>
          <w:tcPr>
            <w:tcW w:w="2640" w:type="dxa"/>
            <w:vAlign w:val="center"/>
          </w:tcPr>
          <w:p>
            <w:pPr>
              <w:spacing w:line="4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处理效果好、运行费用低、</w:t>
            </w:r>
          </w:p>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管理维护简便。</w:t>
            </w:r>
          </w:p>
        </w:tc>
        <w:tc>
          <w:tcPr>
            <w:tcW w:w="1830" w:type="dxa"/>
            <w:vAlign w:val="center"/>
          </w:tcPr>
          <w:p>
            <w:pPr>
              <w:spacing w:line="400" w:lineRule="exact"/>
              <w:jc w:val="center"/>
              <w:rPr>
                <w:rFonts w:asciiTheme="majorEastAsia" w:hAnsiTheme="majorEastAsia" w:eastAsiaTheme="majorEastAsia" w:cstheme="majorEastAsia"/>
                <w:sz w:val="22"/>
                <w:szCs w:val="22"/>
              </w:rPr>
            </w:pPr>
            <w:r>
              <w:rPr>
                <w:rFonts w:hint="eastAsia" w:ascii="宋体" w:hAnsi="宋体" w:eastAsia="宋体"/>
              </w:rPr>
              <w:t>建设成本较高，占地面积较强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vAlign w:val="center"/>
          </w:tcPr>
          <w:p>
            <w:pPr>
              <w:spacing w:line="400" w:lineRule="exact"/>
              <w:jc w:val="center"/>
              <w:rPr>
                <w:rFonts w:asciiTheme="majorEastAsia" w:hAnsiTheme="majorEastAsia" w:eastAsiaTheme="majorEastAsia" w:cstheme="majorEastAsia"/>
                <w:szCs w:val="21"/>
              </w:rPr>
            </w:pPr>
          </w:p>
        </w:tc>
        <w:tc>
          <w:tcPr>
            <w:tcW w:w="2775"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《农村生活污水处理设施水</w:t>
            </w:r>
          </w:p>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污染物排放标准》三级标准</w:t>
            </w:r>
          </w:p>
        </w:tc>
        <w:tc>
          <w:tcPr>
            <w:tcW w:w="2010"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厌氧+人工湿地</w:t>
            </w:r>
          </w:p>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（稳定塘）</w:t>
            </w:r>
          </w:p>
        </w:tc>
        <w:tc>
          <w:tcPr>
            <w:tcW w:w="2640" w:type="dxa"/>
            <w:vAlign w:val="center"/>
          </w:tcPr>
          <w:p>
            <w:pPr>
              <w:spacing w:line="400" w:lineRule="exact"/>
              <w:jc w:val="center"/>
              <w:rPr>
                <w:rFonts w:asciiTheme="majorEastAsia" w:hAnsiTheme="majorEastAsia" w:eastAsiaTheme="majorEastAsia" w:cstheme="majorEastAsia"/>
                <w:szCs w:val="21"/>
              </w:rPr>
            </w:pPr>
            <w:r>
              <w:rPr>
                <w:rFonts w:hint="eastAsia" w:ascii="宋体" w:hAnsi="宋体" w:eastAsia="宋体"/>
              </w:rPr>
              <w:t>运行费用低、管理维护简便。</w:t>
            </w:r>
          </w:p>
        </w:tc>
        <w:tc>
          <w:tcPr>
            <w:tcW w:w="1830" w:type="dxa"/>
            <w:vAlign w:val="center"/>
          </w:tcPr>
          <w:p>
            <w:pPr>
              <w:spacing w:line="400" w:lineRule="exact"/>
              <w:jc w:val="center"/>
              <w:rPr>
                <w:rFonts w:asciiTheme="majorEastAsia" w:hAnsiTheme="majorEastAsia" w:eastAsiaTheme="majorEastAsia" w:cstheme="majorEastAsia"/>
                <w:sz w:val="22"/>
                <w:szCs w:val="22"/>
              </w:rPr>
            </w:pPr>
            <w:r>
              <w:rPr>
                <w:rFonts w:hint="eastAsia" w:ascii="宋体" w:hAnsi="宋体" w:eastAsia="宋体"/>
              </w:rPr>
              <w:t>占地面积大、季节适应性不强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分散式</w:t>
            </w:r>
          </w:p>
        </w:tc>
        <w:tc>
          <w:tcPr>
            <w:tcW w:w="2775"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《农村生活污水处理设施水</w:t>
            </w:r>
          </w:p>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污染物排放标准》三级标准</w:t>
            </w:r>
          </w:p>
        </w:tc>
        <w:tc>
          <w:tcPr>
            <w:tcW w:w="2010" w:type="dxa"/>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四格池</w:t>
            </w:r>
          </w:p>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（庭院式小型湿地）</w:t>
            </w:r>
          </w:p>
        </w:tc>
        <w:tc>
          <w:tcPr>
            <w:tcW w:w="2640" w:type="dxa"/>
            <w:vAlign w:val="center"/>
          </w:tcPr>
          <w:p>
            <w:pPr>
              <w:spacing w:line="400" w:lineRule="exact"/>
              <w:jc w:val="center"/>
              <w:rPr>
                <w:rFonts w:asciiTheme="majorEastAsia" w:hAnsiTheme="majorEastAsia" w:eastAsiaTheme="majorEastAsia" w:cstheme="majorEastAsia"/>
                <w:szCs w:val="21"/>
              </w:rPr>
            </w:pPr>
            <w:r>
              <w:rPr>
                <w:rFonts w:hint="eastAsia" w:ascii="宋体" w:hAnsi="宋体" w:eastAsia="宋体"/>
              </w:rPr>
              <w:t>运行费用低、管理维护简便。</w:t>
            </w:r>
          </w:p>
        </w:tc>
        <w:tc>
          <w:tcPr>
            <w:tcW w:w="1830" w:type="dxa"/>
            <w:vAlign w:val="center"/>
          </w:tcPr>
          <w:p>
            <w:pPr>
              <w:spacing w:line="400" w:lineRule="exact"/>
              <w:jc w:val="center"/>
              <w:rPr>
                <w:rFonts w:asciiTheme="majorEastAsia" w:hAnsiTheme="majorEastAsia" w:eastAsiaTheme="majorEastAsia" w:cstheme="majorEastAsia"/>
                <w:sz w:val="22"/>
                <w:szCs w:val="22"/>
              </w:rPr>
            </w:pPr>
            <w:r>
              <w:rPr>
                <w:rFonts w:hint="eastAsia" w:ascii="宋体" w:hAnsi="宋体" w:eastAsia="宋体"/>
              </w:rPr>
              <w:t>占地面积大、季节适应性不强</w:t>
            </w:r>
          </w:p>
        </w:tc>
      </w:tr>
    </w:tbl>
    <w:p>
      <w:pPr>
        <w:jc w:val="left"/>
        <w:rPr>
          <w:rFonts w:ascii="黑体" w:hAnsi="黑体" w:eastAsia="黑体" w:cs="黑体"/>
          <w:sz w:val="32"/>
        </w:rPr>
      </w:pPr>
      <w:r>
        <w:rPr>
          <w:rFonts w:hint="eastAsia" w:ascii="黑体" w:hAnsi="黑体" w:eastAsia="黑体" w:cs="黑体"/>
          <w:sz w:val="32"/>
        </w:rPr>
        <w:t>4.5 设施出水排放要求</w:t>
      </w:r>
    </w:p>
    <w:p>
      <w:pPr>
        <w:jc w:val="left"/>
        <w:rPr>
          <w:rFonts w:ascii="黑体" w:hAnsi="黑体" w:eastAsia="黑体" w:cs="黑体"/>
          <w:sz w:val="28"/>
        </w:rPr>
      </w:pPr>
      <w:r>
        <w:rPr>
          <w:rFonts w:hint="eastAsia" w:ascii="黑体" w:hAnsi="黑体" w:eastAsia="黑体" w:cs="黑体"/>
          <w:sz w:val="28"/>
        </w:rPr>
        <w:t>4.5.1 设施出水排放标准</w:t>
      </w:r>
    </w:p>
    <w:p>
      <w:pPr>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根据《农村生活污水处理设施水污染物排放标准》（DB43/1665-2019），针对农村生活污水处理设施出水排放去向、受纳水体环境功能和治理规模，农村生活污水处理设施水污染物排放标准分为一级标准、二级标准和三级标准。</w:t>
      </w:r>
    </w:p>
    <w:p>
      <w:pPr>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出水排入《地表水环境质量标准》（GB3838-2002）地表水Ⅲ类功能水域（划定的饮用源保护区和游泳区除外）且规模在10m³/d（含）～500m³/d（不含）时，执行一级标准；规模在10m/d（不含）以下时，执行二级标准。</w:t>
      </w:r>
    </w:p>
    <w:p>
      <w:pPr>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（2）出水排入《地表水环境质量标准》（GB3838-2002）地表水Ⅳ类、Ⅴ类功能水域且规模10m³/d（含）～500m³/d（不含）时，执行二级标准；规模在10m³/d（不含）以下时，执行三级标准。</w:t>
      </w:r>
    </w:p>
    <w:p>
      <w:pPr>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（3）出水排入村庄附近池塘等环境功能未明确的水体时，执行三级标准；县级以上人民政府</w:t>
      </w:r>
    </w:p>
    <w:p>
      <w:pPr>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可根据水环境保护实际需求，执行更严格的排放限值。</w:t>
      </w:r>
    </w:p>
    <w:p>
      <w:pPr>
        <w:spacing w:line="500" w:lineRule="exact"/>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表4- 4 农村生活污水处理设施污染物排放标准</w:t>
      </w:r>
    </w:p>
    <w:tbl>
      <w:tblPr>
        <w:tblStyle w:val="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90"/>
        <w:gridCol w:w="2627"/>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gridSpan w:val="2"/>
          </w:tcPr>
          <w:p>
            <w:pPr>
              <w:spacing w:line="5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标准类别</w:t>
            </w:r>
          </w:p>
        </w:tc>
        <w:tc>
          <w:tcPr>
            <w:tcW w:w="6479" w:type="dxa"/>
            <w:gridSpan w:val="3"/>
          </w:tcPr>
          <w:p>
            <w:pPr>
              <w:spacing w:line="5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《农村生活污水处理设施水污染物排放标准》（DB43/1665-2019）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2190"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2627"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一级标准</w:t>
            </w:r>
          </w:p>
        </w:tc>
        <w:tc>
          <w:tcPr>
            <w:tcW w:w="1926"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二级标准</w:t>
            </w:r>
          </w:p>
        </w:tc>
        <w:tc>
          <w:tcPr>
            <w:tcW w:w="1926"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190"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Ph(无量纲）</w:t>
            </w:r>
          </w:p>
        </w:tc>
        <w:tc>
          <w:tcPr>
            <w:tcW w:w="6479" w:type="dxa"/>
            <w:gridSpan w:val="3"/>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2190"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悬浮物（SS）</w:t>
            </w:r>
          </w:p>
        </w:tc>
        <w:tc>
          <w:tcPr>
            <w:tcW w:w="2627"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1926"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w:t>
            </w:r>
          </w:p>
        </w:tc>
        <w:tc>
          <w:tcPr>
            <w:tcW w:w="1926" w:type="dxa"/>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w:t>
            </w:r>
          </w:p>
        </w:tc>
      </w:tr>
    </w:tbl>
    <w:p>
      <w:pPr>
        <w:spacing w:line="500" w:lineRule="exact"/>
        <w:jc w:val="center"/>
        <w:rPr>
          <w:rFonts w:asciiTheme="majorEastAsia" w:hAnsiTheme="majorEastAsia" w:eastAsiaTheme="majorEastAsia" w:cstheme="majorEastAsia"/>
          <w:b/>
          <w:bCs/>
          <w:sz w:val="22"/>
          <w:szCs w:val="22"/>
        </w:rPr>
      </w:pPr>
    </w:p>
    <w:tbl>
      <w:tblPr>
        <w:tblStyle w:val="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190"/>
        <w:gridCol w:w="2235"/>
        <w:gridCol w:w="2115"/>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2190"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生化需氧量（BOD</w:t>
            </w:r>
            <w:r>
              <w:rPr>
                <w:rFonts w:hint="eastAsia" w:asciiTheme="majorEastAsia" w:hAnsiTheme="majorEastAsia" w:eastAsiaTheme="majorEastAsia" w:cstheme="majorEastAsia"/>
                <w:szCs w:val="21"/>
                <w:vertAlign w:val="subscript"/>
              </w:rPr>
              <w:t>5</w:t>
            </w:r>
            <w:r>
              <w:rPr>
                <w:rFonts w:hint="eastAsia" w:asciiTheme="majorEastAsia" w:hAnsiTheme="majorEastAsia" w:eastAsiaTheme="majorEastAsia" w:cstheme="majorEastAsia"/>
                <w:szCs w:val="21"/>
              </w:rPr>
              <w:t>）</w:t>
            </w:r>
          </w:p>
        </w:tc>
        <w:tc>
          <w:tcPr>
            <w:tcW w:w="2235"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p>
        </w:tc>
        <w:tc>
          <w:tcPr>
            <w:tcW w:w="2115"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p>
        </w:tc>
        <w:tc>
          <w:tcPr>
            <w:tcW w:w="211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2190"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化学需氧量（COD</w:t>
            </w:r>
            <w:r>
              <w:rPr>
                <w:rFonts w:hint="eastAsia" w:asciiTheme="majorEastAsia" w:hAnsiTheme="majorEastAsia" w:eastAsiaTheme="majorEastAsia" w:cstheme="majorEastAsia"/>
                <w:szCs w:val="21"/>
                <w:vertAlign w:val="subscript"/>
              </w:rPr>
              <w:t>cr</w:t>
            </w:r>
            <w:r>
              <w:rPr>
                <w:rFonts w:hint="eastAsia" w:asciiTheme="majorEastAsia" w:hAnsiTheme="majorEastAsia" w:eastAsiaTheme="majorEastAsia" w:cstheme="majorEastAsia"/>
                <w:szCs w:val="21"/>
              </w:rPr>
              <w:t>）</w:t>
            </w:r>
          </w:p>
        </w:tc>
        <w:tc>
          <w:tcPr>
            <w:tcW w:w="2235"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w:t>
            </w:r>
          </w:p>
        </w:tc>
        <w:tc>
          <w:tcPr>
            <w:tcW w:w="2115"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c>
          <w:tcPr>
            <w:tcW w:w="211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2190"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氨氮（以N计）</w:t>
            </w:r>
          </w:p>
        </w:tc>
        <w:tc>
          <w:tcPr>
            <w:tcW w:w="2235"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8（15）</w:t>
            </w:r>
            <w:r>
              <w:rPr>
                <w:rFonts w:hint="eastAsia" w:asciiTheme="majorEastAsia" w:hAnsiTheme="majorEastAsia" w:eastAsiaTheme="majorEastAsia" w:cstheme="majorEastAsia"/>
                <w:szCs w:val="21"/>
                <w:vertAlign w:val="superscript"/>
              </w:rPr>
              <w:t>a</w:t>
            </w:r>
          </w:p>
        </w:tc>
        <w:tc>
          <w:tcPr>
            <w:tcW w:w="4229" w:type="dxa"/>
            <w:gridSpan w:val="2"/>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25（30）</w:t>
            </w:r>
            <w:r>
              <w:rPr>
                <w:rFonts w:hint="eastAsia" w:asciiTheme="majorEastAsia" w:hAnsiTheme="majorEastAsia" w:eastAsiaTheme="majorEastAsia" w:cstheme="majorEastAsia"/>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2190"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总氮（以N计）</w:t>
            </w:r>
            <w:r>
              <w:rPr>
                <w:rFonts w:hint="eastAsia" w:asciiTheme="majorEastAsia" w:hAnsiTheme="majorEastAsia" w:eastAsiaTheme="majorEastAsia" w:cstheme="majorEastAsia"/>
                <w:szCs w:val="21"/>
                <w:vertAlign w:val="superscript"/>
              </w:rPr>
              <w:t>b</w:t>
            </w:r>
          </w:p>
        </w:tc>
        <w:tc>
          <w:tcPr>
            <w:tcW w:w="2235"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4229" w:type="dxa"/>
            <w:gridSpan w:val="2"/>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2190"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总磷（以P计）</w:t>
            </w:r>
            <w:r>
              <w:rPr>
                <w:rFonts w:hint="eastAsia" w:asciiTheme="majorEastAsia" w:hAnsiTheme="majorEastAsia" w:eastAsiaTheme="majorEastAsia" w:cstheme="majorEastAsia"/>
                <w:szCs w:val="21"/>
                <w:vertAlign w:val="superscript"/>
              </w:rPr>
              <w:t>b</w:t>
            </w:r>
          </w:p>
        </w:tc>
        <w:tc>
          <w:tcPr>
            <w:tcW w:w="2235"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4229" w:type="dxa"/>
            <w:gridSpan w:val="2"/>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2190"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动植物油</w:t>
            </w:r>
            <w:r>
              <w:rPr>
                <w:rFonts w:hint="eastAsia" w:asciiTheme="majorEastAsia" w:hAnsiTheme="majorEastAsia" w:eastAsiaTheme="majorEastAsia" w:cstheme="majorEastAsia"/>
                <w:szCs w:val="21"/>
                <w:vertAlign w:val="superscript"/>
              </w:rPr>
              <w:t>c</w:t>
            </w:r>
          </w:p>
        </w:tc>
        <w:tc>
          <w:tcPr>
            <w:tcW w:w="2235"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4229" w:type="dxa"/>
            <w:gridSpan w:val="2"/>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2190"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阴离子表面活性剂</w:t>
            </w:r>
          </w:p>
        </w:tc>
        <w:tc>
          <w:tcPr>
            <w:tcW w:w="6464" w:type="dxa"/>
            <w:gridSpan w:val="3"/>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2190" w:type="dxa"/>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水温℃</w:t>
            </w:r>
          </w:p>
        </w:tc>
        <w:tc>
          <w:tcPr>
            <w:tcW w:w="6464" w:type="dxa"/>
            <w:gridSpan w:val="3"/>
            <w:vAlign w:val="center"/>
          </w:tcPr>
          <w:p>
            <w:pPr>
              <w:spacing w:line="5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tcPr>
          <w:p>
            <w:pPr>
              <w:spacing w:line="5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a括号外数值为水温＞12°C时的控制指标，括号内数值为水温≤12°C时的控制指标。</w:t>
            </w:r>
          </w:p>
          <w:p>
            <w:pPr>
              <w:spacing w:line="5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b出水排入封闭水体或超标因子为氮磷的不达标水体时增加的控制指标。</w:t>
            </w:r>
          </w:p>
          <w:p>
            <w:pPr>
              <w:spacing w:line="5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c进水含餐饮服务的农村污水处理设施增加的控制指标。</w:t>
            </w:r>
          </w:p>
        </w:tc>
      </w:tr>
    </w:tbl>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尾水利用应满足国家、湖南省或当地相应的标准或要求：</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（1）回用于农田、林地、草地等施肥的，应符合施肥的相关标准和要求，不得造成环境污染；</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（2）回用于农田灌溉的，相关控制标准应满足《农田灌溉水质标准》（GB5084-2005）规定；</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（3）回用于渔业的，相关控制标准应满足《渔业水质标准》（GB11607-89）规定；</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（4）回用于景观环境的，相关控制标准应满足《城市污水再生利用 景观环境用水水质》（GB/T18921-2002）规定；</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（5）回用于其他用途的，执行国家或湖南省相应回用水水质标准。</w:t>
      </w:r>
    </w:p>
    <w:p>
      <w:pPr>
        <w:spacing w:line="460" w:lineRule="exact"/>
        <w:jc w:val="left"/>
        <w:rPr>
          <w:rFonts w:ascii="黑体" w:hAnsi="黑体" w:eastAsia="黑体" w:cs="黑体"/>
          <w:sz w:val="28"/>
          <w:szCs w:val="28"/>
        </w:rPr>
      </w:pPr>
      <w:r>
        <w:rPr>
          <w:rFonts w:hint="eastAsia" w:ascii="黑体" w:hAnsi="黑体" w:eastAsia="黑体" w:cs="黑体"/>
          <w:sz w:val="28"/>
          <w:szCs w:val="28"/>
        </w:rPr>
        <w:t>4.5.2  村庄分类</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纳入城镇污水处理厂处理的村（居）生活污水应满足污水纳管水质标准要求，不能纳入污水处 理厂的村按生态敏感程度和排水去向不同，划分为一类村（居）、二类村（居）和三类村（居）。</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 一类村（居）：位于饮用水水源一、二级保护区、自然保护区核心区、缓冲区陆域范围以及划 定的III类水体中游泳区内的村庄，生活污水经处理后应资源化利用或引入保护区外排放，不具备外引条件的，可通过农田灌溉、植树、造林等方式回用，或排入湿地进行二次处理。 </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二类村（居）：生活污水排入湖南省水功能区划定的III类水体（不包括游泳区）的村庄，污水处理设施规模在 500m3/d（不含）-10m3/d（含）时应满足《农村生活污水处理设施水污染物排放标 准》（DB43/1665-2019）表1规定的一级标准要求，规模在10m3/d（不含）以下时应满足表1规定的二级标准要求。</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三类村（居）：生活污水排入未明确功能目标水体的村庄。污水处理设施规模在 500m3/d（不</w:t>
      </w:r>
    </w:p>
    <w:p>
      <w:pPr>
        <w:spacing w:line="46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含）-10m3/d（含）时应满足《农村生活污水处理设施水污染物排放标准》（DB43/1665-2019）表1</w:t>
      </w:r>
    </w:p>
    <w:p>
      <w:pPr>
        <w:spacing w:line="46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规定的二级标准要求，规模在10m3/d（不含）以下时应满足表1规定的三级标准要求。 </w:t>
      </w:r>
    </w:p>
    <w:p>
      <w:pPr>
        <w:spacing w:line="46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桃源县村庄分类情况如下表所示：</w:t>
      </w:r>
    </w:p>
    <w:p>
      <w:pPr>
        <w:spacing w:line="460" w:lineRule="exact"/>
        <w:ind w:firstLine="442" w:firstLineChars="200"/>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表 4-5 桃源县村庄分类统计表</w:t>
      </w:r>
    </w:p>
    <w:tbl>
      <w:tblPr>
        <w:tblStyle w:val="6"/>
        <w:tblW w:w="1044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00"/>
        <w:gridCol w:w="2379"/>
        <w:gridCol w:w="2298"/>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52"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200" w:type="dxa"/>
            <w:vAlign w:val="center"/>
          </w:tcPr>
          <w:p>
            <w:pPr>
              <w:spacing w:line="34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街道/镇名</w:t>
            </w:r>
          </w:p>
        </w:tc>
        <w:tc>
          <w:tcPr>
            <w:tcW w:w="2379"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一类村庄</w:t>
            </w:r>
          </w:p>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（原则不排放）</w:t>
            </w:r>
          </w:p>
        </w:tc>
        <w:tc>
          <w:tcPr>
            <w:tcW w:w="2298"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二类村庄</w:t>
            </w:r>
          </w:p>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（排地表Ⅲ类水体）</w:t>
            </w:r>
          </w:p>
        </w:tc>
        <w:tc>
          <w:tcPr>
            <w:tcW w:w="3911"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三类村庄</w:t>
            </w:r>
          </w:p>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（排未明水体）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浔阳街道</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丰禾村、仙石村、大平村、福庆山村、教仁村、绿溪口村</w:t>
            </w:r>
          </w:p>
        </w:tc>
        <w:tc>
          <w:tcPr>
            <w:tcW w:w="2298" w:type="dxa"/>
            <w:vAlign w:val="center"/>
          </w:tcPr>
          <w:p>
            <w:pPr>
              <w:spacing w:line="340" w:lineRule="exact"/>
              <w:jc w:val="center"/>
              <w:rPr>
                <w:rFonts w:asciiTheme="majorEastAsia" w:hAnsiTheme="majorEastAsia" w:eastAsiaTheme="majorEastAsia" w:cstheme="majorEastAsia"/>
                <w:szCs w:val="21"/>
              </w:rPr>
            </w:pP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镇江渡村、铁船堰村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漳江街道</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楚旺居委会、交岩居委会、胜利村、高湖村、富强村、均田坪村、延泉村、金雁村、云台村</w:t>
            </w:r>
          </w:p>
        </w:tc>
        <w:tc>
          <w:tcPr>
            <w:tcW w:w="2298" w:type="dxa"/>
            <w:vAlign w:val="center"/>
          </w:tcPr>
          <w:p>
            <w:pPr>
              <w:spacing w:line="340" w:lineRule="exact"/>
              <w:jc w:val="center"/>
              <w:rPr>
                <w:rFonts w:asciiTheme="majorEastAsia" w:hAnsiTheme="majorEastAsia" w:eastAsiaTheme="majorEastAsia" w:cstheme="majorEastAsia"/>
                <w:szCs w:val="21"/>
              </w:rPr>
            </w:pP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海螺山、和谐村、高桥村、金凤村、高岩村、金旺村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陬市镇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神仙桥村</w:t>
            </w:r>
          </w:p>
        </w:tc>
        <w:tc>
          <w:tcPr>
            <w:tcW w:w="2298" w:type="dxa"/>
            <w:vAlign w:val="center"/>
          </w:tcPr>
          <w:p>
            <w:pPr>
              <w:spacing w:line="340" w:lineRule="exact"/>
              <w:jc w:val="center"/>
              <w:rPr>
                <w:rFonts w:asciiTheme="majorEastAsia" w:hAnsiTheme="majorEastAsia" w:eastAsiaTheme="majorEastAsia" w:cstheme="majorEastAsia"/>
                <w:szCs w:val="21"/>
              </w:rPr>
            </w:pP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高湾村、小马山村、团结路村、新茶庵铺、酒铺岗村、福德山村、鸬鹚州村、畬田村、青龙村、观音桥村、三里铺村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漆河镇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龙昌村、铁佛寺村、汉宫庙村、玉皇坪村、曙光村</w:t>
            </w:r>
          </w:p>
        </w:tc>
        <w:tc>
          <w:tcPr>
            <w:tcW w:w="2298"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重阳村</w:t>
            </w: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黄甲铺、八房坪、涌泉村、石板坪村、列桥村、黄婆店村、聚宝山村、吕家村、街头坪村、灵岩寺村、勒马山村、长寿寺村、杨家庄村、夺旗山村、乾元村、枫岭村、聚宝山村、华岩河村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沙坪镇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兰坪村、乌云界村、向阳村、老屋棚村、赛阳村、竹山村</w:t>
            </w:r>
          </w:p>
        </w:tc>
        <w:tc>
          <w:tcPr>
            <w:tcW w:w="2298" w:type="dxa"/>
            <w:vAlign w:val="center"/>
          </w:tcPr>
          <w:p>
            <w:pPr>
              <w:spacing w:line="340" w:lineRule="exact"/>
              <w:jc w:val="center"/>
              <w:rPr>
                <w:rFonts w:ascii="宋体" w:hAnsi="宋体" w:eastAsia="宋体"/>
              </w:rPr>
            </w:pPr>
            <w:r>
              <w:rPr>
                <w:rFonts w:hint="eastAsia" w:ascii="宋体" w:hAnsi="宋体" w:eastAsia="宋体"/>
              </w:rPr>
              <w:t>金明村、沙坪村、芦花</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居委会、西溪村、湖湘坪村</w:t>
            </w: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红官村、新跃村、太平村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三阳港镇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花山洞村、土黄坪村、茅叶寺村、袁家坪村</w:t>
            </w:r>
          </w:p>
        </w:tc>
        <w:tc>
          <w:tcPr>
            <w:tcW w:w="2298"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太平桥居委会、黄柏山村</w:t>
            </w: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九庄堉村、向家坪村、沙坡堉村、跑马岭村、白栗坪村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黄石镇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金洪居委会、黄安村、东山村、芭茅洲村、新铺村、茶源村、香山村</w:t>
            </w:r>
          </w:p>
        </w:tc>
        <w:tc>
          <w:tcPr>
            <w:tcW w:w="2298"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凉井居委会、新桥村</w:t>
            </w: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杨柳村、大谷村、观音洞、新湾村、桃花井村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西安镇</w:t>
            </w:r>
          </w:p>
        </w:tc>
        <w:tc>
          <w:tcPr>
            <w:tcW w:w="2379" w:type="dxa"/>
            <w:vAlign w:val="center"/>
          </w:tcPr>
          <w:p>
            <w:pPr>
              <w:spacing w:line="340" w:lineRule="exact"/>
              <w:jc w:val="center"/>
              <w:rPr>
                <w:rFonts w:asciiTheme="majorEastAsia" w:hAnsiTheme="majorEastAsia" w:eastAsiaTheme="majorEastAsia" w:cstheme="majorEastAsia"/>
                <w:szCs w:val="21"/>
              </w:rPr>
            </w:pPr>
          </w:p>
        </w:tc>
        <w:tc>
          <w:tcPr>
            <w:tcW w:w="2298" w:type="dxa"/>
            <w:vAlign w:val="center"/>
          </w:tcPr>
          <w:p>
            <w:pPr>
              <w:spacing w:line="340" w:lineRule="exact"/>
              <w:jc w:val="center"/>
              <w:rPr>
                <w:rFonts w:ascii="宋体" w:hAnsi="宋体" w:eastAsia="宋体"/>
              </w:rPr>
            </w:pPr>
            <w:r>
              <w:rPr>
                <w:rFonts w:hint="eastAsia" w:ascii="宋体" w:hAnsi="宋体" w:eastAsia="宋体"/>
              </w:rPr>
              <w:t>大水田村、西安村、桥</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塘村</w:t>
            </w: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磨子坪村、大池塘村、白洋坪村、薛家冲村、杨柳山村、桃安村、东安村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理公港镇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张家山村</w:t>
            </w:r>
          </w:p>
        </w:tc>
        <w:tc>
          <w:tcPr>
            <w:tcW w:w="2298" w:type="dxa"/>
            <w:vAlign w:val="center"/>
          </w:tcPr>
          <w:p>
            <w:pPr>
              <w:spacing w:line="340" w:lineRule="exact"/>
              <w:jc w:val="center"/>
              <w:rPr>
                <w:rFonts w:asciiTheme="majorEastAsia" w:hAnsiTheme="majorEastAsia" w:eastAsiaTheme="majorEastAsia" w:cstheme="majorEastAsia"/>
                <w:szCs w:val="21"/>
              </w:rPr>
            </w:pP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青年居委会、观音垭村、小河口村、狮子坪村、杨公桥村、千丈河村、陈家界村、杜坪村、陈家界村、八斗丘村、殷家坪村、黄家坪村、交界村、城关村、金鸡山村</w:t>
            </w:r>
          </w:p>
        </w:tc>
      </w:tr>
    </w:tbl>
    <w:p>
      <w:pPr>
        <w:spacing w:line="360" w:lineRule="exact"/>
        <w:ind w:firstLine="442" w:firstLineChars="200"/>
        <w:jc w:val="center"/>
        <w:rPr>
          <w:rFonts w:asciiTheme="majorEastAsia" w:hAnsiTheme="majorEastAsia" w:eastAsiaTheme="majorEastAsia" w:cstheme="majorEastAsia"/>
          <w:b/>
          <w:bCs/>
          <w:sz w:val="22"/>
          <w:szCs w:val="22"/>
        </w:rPr>
      </w:pPr>
    </w:p>
    <w:tbl>
      <w:tblPr>
        <w:tblStyle w:val="6"/>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00"/>
        <w:gridCol w:w="2379"/>
        <w:gridCol w:w="2298"/>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2"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200" w:type="dxa"/>
            <w:vAlign w:val="center"/>
          </w:tcPr>
          <w:p>
            <w:pPr>
              <w:spacing w:line="34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街道/镇名</w:t>
            </w:r>
          </w:p>
        </w:tc>
        <w:tc>
          <w:tcPr>
            <w:tcW w:w="2379"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一类村庄</w:t>
            </w:r>
          </w:p>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（原则不排放）</w:t>
            </w:r>
          </w:p>
        </w:tc>
        <w:tc>
          <w:tcPr>
            <w:tcW w:w="2298"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二类村庄</w:t>
            </w:r>
          </w:p>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（排地表Ⅲ类水体）</w:t>
            </w:r>
          </w:p>
        </w:tc>
        <w:tc>
          <w:tcPr>
            <w:tcW w:w="3911"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三类村庄</w:t>
            </w:r>
          </w:p>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（排未明水体）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龙潭镇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落家坪村</w:t>
            </w:r>
          </w:p>
        </w:tc>
        <w:tc>
          <w:tcPr>
            <w:tcW w:w="2298" w:type="dxa"/>
            <w:vAlign w:val="center"/>
          </w:tcPr>
          <w:p>
            <w:pPr>
              <w:jc w:val="center"/>
              <w:rPr>
                <w:rFonts w:ascii="宋体" w:hAnsi="宋体" w:eastAsia="宋体"/>
              </w:rPr>
            </w:pPr>
            <w:r>
              <w:rPr>
                <w:rFonts w:hint="eastAsia" w:ascii="宋体" w:hAnsi="宋体" w:eastAsia="宋体"/>
              </w:rPr>
              <w:t>鄢家溪村、小伏溪村、</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梁皇殿村</w:t>
            </w:r>
          </w:p>
        </w:tc>
        <w:tc>
          <w:tcPr>
            <w:tcW w:w="3911" w:type="dxa"/>
            <w:vAlign w:val="center"/>
          </w:tcPr>
          <w:p>
            <w:pPr>
              <w:jc w:val="center"/>
              <w:rPr>
                <w:rFonts w:ascii="宋体" w:hAnsi="宋体" w:eastAsia="宋体"/>
              </w:rPr>
            </w:pPr>
            <w:r>
              <w:rPr>
                <w:rFonts w:hint="eastAsia" w:ascii="宋体" w:hAnsi="宋体" w:eastAsia="宋体"/>
              </w:rPr>
              <w:t>东风村、同观山村、枣儿垭村、杜家坊村、</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丁家坊村、翠峰村、仙花山村、梨树垭村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剪市镇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狮子殿村、沙萝村、玉皇殿村</w:t>
            </w:r>
          </w:p>
        </w:tc>
        <w:tc>
          <w:tcPr>
            <w:tcW w:w="2298"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喜雨村</w:t>
            </w: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八公桥村、十字路村、双龙村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茶庵铺镇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古溶溪村</w:t>
            </w:r>
          </w:p>
        </w:tc>
        <w:tc>
          <w:tcPr>
            <w:tcW w:w="2298" w:type="dxa"/>
            <w:vAlign w:val="center"/>
          </w:tcPr>
          <w:p>
            <w:pPr>
              <w:jc w:val="center"/>
              <w:rPr>
                <w:rFonts w:ascii="宋体" w:hAnsi="宋体" w:eastAsia="宋体"/>
              </w:rPr>
            </w:pPr>
            <w:r>
              <w:rPr>
                <w:rFonts w:hint="eastAsia" w:ascii="宋体" w:hAnsi="宋体" w:eastAsia="宋体"/>
              </w:rPr>
              <w:t>新店驿村、黄鹿坪村、</w:t>
            </w:r>
          </w:p>
          <w:p>
            <w:pPr>
              <w:jc w:val="center"/>
              <w:rPr>
                <w:rFonts w:ascii="宋体" w:hAnsi="宋体" w:eastAsia="宋体"/>
              </w:rPr>
            </w:pPr>
            <w:r>
              <w:rPr>
                <w:rFonts w:hint="eastAsia" w:ascii="宋体" w:hAnsi="宋体" w:eastAsia="宋体"/>
              </w:rPr>
              <w:t>松阳坪村、三元潭村、</w:t>
            </w:r>
          </w:p>
          <w:p>
            <w:pPr>
              <w:jc w:val="center"/>
              <w:rPr>
                <w:rFonts w:ascii="宋体" w:hAnsi="宋体" w:eastAsia="宋体"/>
              </w:rPr>
            </w:pPr>
            <w:r>
              <w:rPr>
                <w:rFonts w:hint="eastAsia" w:ascii="宋体" w:hAnsi="宋体" w:eastAsia="宋体"/>
              </w:rPr>
              <w:t>七里冲村、尚寺坪村、</w:t>
            </w:r>
          </w:p>
          <w:p>
            <w:pPr>
              <w:jc w:val="center"/>
              <w:rPr>
                <w:rFonts w:ascii="宋体" w:hAnsi="宋体" w:eastAsia="宋体"/>
              </w:rPr>
            </w:pPr>
            <w:r>
              <w:rPr>
                <w:rFonts w:hint="eastAsia" w:ascii="宋体" w:hAnsi="宋体" w:eastAsia="宋体"/>
              </w:rPr>
              <w:t>成功坪村、六家冲村、</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茶庵铺村、李梓溪村</w:t>
            </w: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太平铺居委会、长板铺村、铁山溪村、木旺溪村、湖塘村、小桃源村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盘塘镇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常青村</w:t>
            </w:r>
          </w:p>
        </w:tc>
        <w:tc>
          <w:tcPr>
            <w:tcW w:w="2298" w:type="dxa"/>
            <w:vAlign w:val="center"/>
          </w:tcPr>
          <w:p>
            <w:pPr>
              <w:spacing w:line="340" w:lineRule="exact"/>
              <w:jc w:val="center"/>
              <w:rPr>
                <w:rFonts w:asciiTheme="majorEastAsia" w:hAnsiTheme="majorEastAsia" w:eastAsiaTheme="majorEastAsia" w:cstheme="majorEastAsia"/>
                <w:szCs w:val="21"/>
              </w:rPr>
            </w:pP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迴龙庵居委会、莲蓬岗村、朱家港村、红岩山村、黄叶岗村、青草岗村、董家坪村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热市镇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山河村、云盘山村、夏家峪村</w:t>
            </w:r>
          </w:p>
        </w:tc>
        <w:tc>
          <w:tcPr>
            <w:tcW w:w="2298" w:type="dxa"/>
            <w:vAlign w:val="center"/>
          </w:tcPr>
          <w:p>
            <w:pPr>
              <w:jc w:val="center"/>
              <w:rPr>
                <w:rFonts w:ascii="宋体" w:hAnsi="宋体" w:eastAsia="宋体"/>
              </w:rPr>
            </w:pPr>
            <w:r>
              <w:rPr>
                <w:rFonts w:hint="eastAsia" w:ascii="宋体" w:hAnsi="宋体" w:eastAsia="宋体"/>
              </w:rPr>
              <w:t>永凤村、龙家嘴村、会</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同村、戈尔潭村</w:t>
            </w: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棠梨岗居委会、郝仙坪居委会、桃子村、马家堰村、莒蒲村、天会村、暴家村、岩桥坪村、郭家垭村、刘坪村、和平村、凤鸣村、彰善村、荣禄村、大田村、明月村、白鹤村、太平寺村、菖蒲村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观音寺镇</w:t>
            </w:r>
          </w:p>
        </w:tc>
        <w:tc>
          <w:tcPr>
            <w:tcW w:w="2379" w:type="dxa"/>
            <w:vAlign w:val="center"/>
          </w:tcPr>
          <w:p>
            <w:pPr>
              <w:jc w:val="center"/>
              <w:rPr>
                <w:rFonts w:asciiTheme="majorEastAsia" w:hAnsiTheme="majorEastAsia" w:eastAsiaTheme="majorEastAsia" w:cstheme="majorEastAsia"/>
                <w:szCs w:val="21"/>
              </w:rPr>
            </w:pPr>
            <w:r>
              <w:rPr>
                <w:rFonts w:hint="eastAsia" w:ascii="宋体" w:hAnsi="宋体" w:eastAsia="宋体"/>
              </w:rPr>
              <w:t>万阳山村、马宗山村、杨家溪村</w:t>
            </w:r>
          </w:p>
        </w:tc>
        <w:tc>
          <w:tcPr>
            <w:tcW w:w="2298" w:type="dxa"/>
            <w:vAlign w:val="center"/>
          </w:tcPr>
          <w:p>
            <w:pPr>
              <w:jc w:val="center"/>
              <w:rPr>
                <w:rFonts w:ascii="宋体" w:hAnsi="宋体" w:eastAsia="宋体"/>
              </w:rPr>
            </w:pPr>
            <w:r>
              <w:rPr>
                <w:rFonts w:hint="eastAsia" w:ascii="宋体" w:hAnsi="宋体" w:eastAsia="宋体"/>
              </w:rPr>
              <w:t>燕家坪、舒溪村、高都</w:t>
            </w:r>
          </w:p>
          <w:p>
            <w:pPr>
              <w:jc w:val="center"/>
              <w:rPr>
                <w:rFonts w:ascii="宋体" w:hAnsi="宋体" w:eastAsia="宋体"/>
              </w:rPr>
            </w:pPr>
            <w:r>
              <w:rPr>
                <w:rFonts w:hint="eastAsia" w:ascii="宋体" w:hAnsi="宋体" w:eastAsia="宋体"/>
              </w:rPr>
              <w:t>驿、大伏溪村、会人溪</w:t>
            </w:r>
          </w:p>
          <w:p>
            <w:pPr>
              <w:jc w:val="center"/>
              <w:rPr>
                <w:rFonts w:ascii="宋体" w:hAnsi="宋体" w:eastAsia="宋体"/>
              </w:rPr>
            </w:pPr>
            <w:r>
              <w:rPr>
                <w:rFonts w:hint="eastAsia" w:ascii="宋体" w:hAnsi="宋体" w:eastAsia="宋体"/>
              </w:rPr>
              <w:t>村、李家坪村、曾家河</w:t>
            </w:r>
          </w:p>
          <w:p>
            <w:pPr>
              <w:jc w:val="center"/>
              <w:rPr>
                <w:rFonts w:ascii="宋体" w:hAnsi="宋体" w:eastAsia="宋体"/>
              </w:rPr>
            </w:pPr>
            <w:r>
              <w:rPr>
                <w:rFonts w:hint="eastAsia" w:ascii="宋体" w:hAnsi="宋体" w:eastAsia="宋体"/>
              </w:rPr>
              <w:t>村、汤田界村、桃儿峪</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村、东阳溪村、姚家坪村</w:t>
            </w: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野猪溪村、长潭坪村、李家坪村、羊楼坪村、汤田界村、道头山村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马鬃岭镇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木槎桥村</w:t>
            </w:r>
          </w:p>
        </w:tc>
        <w:tc>
          <w:tcPr>
            <w:tcW w:w="2298" w:type="dxa"/>
            <w:vAlign w:val="center"/>
          </w:tcPr>
          <w:p>
            <w:pPr>
              <w:spacing w:line="340" w:lineRule="exact"/>
              <w:jc w:val="center"/>
              <w:rPr>
                <w:rFonts w:asciiTheme="majorEastAsia" w:hAnsiTheme="majorEastAsia" w:eastAsiaTheme="majorEastAsia" w:cstheme="majorEastAsia"/>
                <w:szCs w:val="21"/>
              </w:rPr>
            </w:pP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马鬃岭居委会、理鸣村、刘炎村、三口堰村、兴庵村、平安村、兴街村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架桥镇</w:t>
            </w:r>
          </w:p>
        </w:tc>
        <w:tc>
          <w:tcPr>
            <w:tcW w:w="2379" w:type="dxa"/>
            <w:vAlign w:val="center"/>
          </w:tcPr>
          <w:p>
            <w:pPr>
              <w:spacing w:line="340" w:lineRule="exact"/>
              <w:jc w:val="center"/>
              <w:rPr>
                <w:rFonts w:asciiTheme="majorEastAsia" w:hAnsiTheme="majorEastAsia" w:eastAsiaTheme="majorEastAsia" w:cstheme="majorEastAsia"/>
                <w:szCs w:val="21"/>
              </w:rPr>
            </w:pPr>
          </w:p>
        </w:tc>
        <w:tc>
          <w:tcPr>
            <w:tcW w:w="2298" w:type="dxa"/>
            <w:vAlign w:val="center"/>
          </w:tcPr>
          <w:p>
            <w:pPr>
              <w:spacing w:line="340" w:lineRule="exact"/>
              <w:jc w:val="center"/>
              <w:rPr>
                <w:rFonts w:asciiTheme="majorEastAsia" w:hAnsiTheme="majorEastAsia" w:eastAsiaTheme="majorEastAsia" w:cstheme="majorEastAsia"/>
                <w:szCs w:val="21"/>
              </w:rPr>
            </w:pP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东门桥居委会、架桥居委会、朝阳村、马路村、祠堂村、栖凤山村、黄龙村、翰林村、先锋村、茶林村、叶家坡村、挖断岗村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夷望溪镇</w:t>
            </w:r>
          </w:p>
        </w:tc>
        <w:tc>
          <w:tcPr>
            <w:tcW w:w="2379" w:type="dxa"/>
            <w:vAlign w:val="center"/>
          </w:tcPr>
          <w:p>
            <w:pPr>
              <w:jc w:val="center"/>
              <w:rPr>
                <w:rFonts w:asciiTheme="majorEastAsia" w:hAnsiTheme="majorEastAsia" w:eastAsiaTheme="majorEastAsia" w:cstheme="majorEastAsia"/>
                <w:szCs w:val="21"/>
              </w:rPr>
            </w:pPr>
            <w:r>
              <w:rPr>
                <w:rFonts w:hint="eastAsia" w:ascii="宋体" w:hAnsi="宋体" w:eastAsia="宋体"/>
              </w:rPr>
              <w:t>马石居委会、凌津滩居委会、龙潭溪村、岩巴嘴村、竹园村</w:t>
            </w:r>
          </w:p>
        </w:tc>
        <w:tc>
          <w:tcPr>
            <w:tcW w:w="2298" w:type="dxa"/>
            <w:vAlign w:val="center"/>
          </w:tcPr>
          <w:p>
            <w:pPr>
              <w:jc w:val="center"/>
              <w:rPr>
                <w:rFonts w:ascii="宋体" w:hAnsi="宋体" w:eastAsia="宋体"/>
              </w:rPr>
            </w:pPr>
            <w:r>
              <w:rPr>
                <w:rFonts w:hint="eastAsia" w:ascii="宋体" w:hAnsi="宋体" w:eastAsia="宋体"/>
              </w:rPr>
              <w:t>松林村、兴隆居委会、</w:t>
            </w:r>
          </w:p>
          <w:p>
            <w:pPr>
              <w:jc w:val="center"/>
              <w:rPr>
                <w:rFonts w:ascii="宋体" w:hAnsi="宋体" w:eastAsia="宋体"/>
              </w:rPr>
            </w:pPr>
            <w:r>
              <w:rPr>
                <w:rFonts w:hint="eastAsia" w:ascii="宋体" w:hAnsi="宋体" w:eastAsia="宋体"/>
              </w:rPr>
              <w:t>夷望溪村、红鹤村、桂</w:t>
            </w:r>
          </w:p>
          <w:p>
            <w:pPr>
              <w:jc w:val="center"/>
              <w:rPr>
                <w:rFonts w:ascii="宋体" w:hAnsi="宋体" w:eastAsia="宋体"/>
              </w:rPr>
            </w:pPr>
            <w:r>
              <w:rPr>
                <w:rFonts w:hint="eastAsia" w:ascii="宋体" w:hAnsi="宋体" w:eastAsia="宋体"/>
              </w:rPr>
              <w:t>竹园村、仙人溪村、牧</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马口村、大同村</w:t>
            </w: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简家溪村、大樟树村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双溪口镇</w:t>
            </w:r>
          </w:p>
        </w:tc>
        <w:tc>
          <w:tcPr>
            <w:tcW w:w="2379" w:type="dxa"/>
            <w:vAlign w:val="center"/>
          </w:tcPr>
          <w:p>
            <w:pPr>
              <w:spacing w:line="340" w:lineRule="exact"/>
              <w:jc w:val="center"/>
              <w:rPr>
                <w:rFonts w:asciiTheme="majorEastAsia" w:hAnsiTheme="majorEastAsia" w:eastAsiaTheme="majorEastAsia" w:cstheme="majorEastAsia"/>
                <w:szCs w:val="21"/>
              </w:rPr>
            </w:pPr>
          </w:p>
        </w:tc>
        <w:tc>
          <w:tcPr>
            <w:tcW w:w="2298" w:type="dxa"/>
            <w:vAlign w:val="center"/>
          </w:tcPr>
          <w:p>
            <w:pPr>
              <w:spacing w:line="340" w:lineRule="exact"/>
              <w:jc w:val="center"/>
              <w:rPr>
                <w:rFonts w:asciiTheme="majorEastAsia" w:hAnsiTheme="majorEastAsia" w:eastAsiaTheme="majorEastAsia" w:cstheme="majorEastAsia"/>
                <w:szCs w:val="21"/>
              </w:rPr>
            </w:pP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黄龙居委会、杨家坪村、复兴居委会、龙珠山村、烽火岗村、先锋村、金紫山村、幸福岗村、一字山村、东阳山村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九溪镇</w:t>
            </w:r>
          </w:p>
        </w:tc>
        <w:tc>
          <w:tcPr>
            <w:tcW w:w="2379" w:type="dxa"/>
            <w:vAlign w:val="center"/>
          </w:tcPr>
          <w:p>
            <w:pPr>
              <w:spacing w:line="340" w:lineRule="exact"/>
              <w:jc w:val="center"/>
              <w:rPr>
                <w:rFonts w:asciiTheme="majorEastAsia" w:hAnsiTheme="majorEastAsia" w:eastAsiaTheme="majorEastAsia" w:cstheme="majorEastAsia"/>
                <w:szCs w:val="21"/>
              </w:rPr>
            </w:pPr>
          </w:p>
        </w:tc>
        <w:tc>
          <w:tcPr>
            <w:tcW w:w="2298" w:type="dxa"/>
            <w:vAlign w:val="center"/>
          </w:tcPr>
          <w:p>
            <w:pPr>
              <w:jc w:val="center"/>
              <w:rPr>
                <w:rFonts w:ascii="宋体" w:hAnsi="宋体" w:eastAsia="宋体"/>
              </w:rPr>
            </w:pPr>
            <w:r>
              <w:rPr>
                <w:rFonts w:hint="eastAsia" w:ascii="宋体" w:hAnsi="宋体" w:eastAsia="宋体"/>
              </w:rPr>
              <w:t>九溪居委会、兴龙村、</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孙家河村、六一阁村</w:t>
            </w: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青华村、围坪村、板桥村、凉桥村、正气村、白岩村、笔架村、官坪村、土金村</w:t>
            </w:r>
          </w:p>
        </w:tc>
      </w:tr>
    </w:tbl>
    <w:p>
      <w:pPr>
        <w:spacing w:line="360" w:lineRule="exact"/>
        <w:ind w:firstLine="442" w:firstLineChars="200"/>
        <w:jc w:val="center"/>
        <w:rPr>
          <w:rFonts w:asciiTheme="majorEastAsia" w:hAnsiTheme="majorEastAsia" w:eastAsiaTheme="majorEastAsia" w:cstheme="majorEastAsia"/>
          <w:b/>
          <w:bCs/>
          <w:sz w:val="22"/>
          <w:szCs w:val="22"/>
        </w:rPr>
      </w:pPr>
    </w:p>
    <w:tbl>
      <w:tblPr>
        <w:tblStyle w:val="6"/>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00"/>
        <w:gridCol w:w="2379"/>
        <w:gridCol w:w="2298"/>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2"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200" w:type="dxa"/>
            <w:vAlign w:val="center"/>
          </w:tcPr>
          <w:p>
            <w:pPr>
              <w:spacing w:line="34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街道/镇名</w:t>
            </w:r>
          </w:p>
        </w:tc>
        <w:tc>
          <w:tcPr>
            <w:tcW w:w="2379"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一类村庄</w:t>
            </w:r>
          </w:p>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（原则不排放）</w:t>
            </w:r>
          </w:p>
        </w:tc>
        <w:tc>
          <w:tcPr>
            <w:tcW w:w="2298"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二类村庄</w:t>
            </w:r>
          </w:p>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（排地表Ⅲ类水体）</w:t>
            </w:r>
          </w:p>
        </w:tc>
        <w:tc>
          <w:tcPr>
            <w:tcW w:w="3911" w:type="dxa"/>
            <w:vAlign w:val="center"/>
          </w:tcPr>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三类村庄</w:t>
            </w:r>
          </w:p>
          <w:p>
            <w:pPr>
              <w:spacing w:line="3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（排未明水体）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牛车河镇</w:t>
            </w:r>
          </w:p>
        </w:tc>
        <w:tc>
          <w:tcPr>
            <w:tcW w:w="2379" w:type="dxa"/>
            <w:vAlign w:val="center"/>
          </w:tcPr>
          <w:p>
            <w:pPr>
              <w:jc w:val="center"/>
              <w:rPr>
                <w:rFonts w:asciiTheme="majorEastAsia" w:hAnsiTheme="majorEastAsia" w:eastAsiaTheme="majorEastAsia" w:cstheme="majorEastAsia"/>
                <w:szCs w:val="21"/>
              </w:rPr>
            </w:pPr>
            <w:r>
              <w:rPr>
                <w:rFonts w:hint="eastAsia" w:ascii="宋体" w:hAnsi="宋体" w:eastAsia="宋体"/>
              </w:rPr>
              <w:t>毛公坝村、汤家溪村、三龙村、唐家坪村</w:t>
            </w:r>
          </w:p>
        </w:tc>
        <w:tc>
          <w:tcPr>
            <w:tcW w:w="2298" w:type="dxa"/>
            <w:vAlign w:val="center"/>
          </w:tcPr>
          <w:p>
            <w:pPr>
              <w:spacing w:line="340" w:lineRule="exact"/>
              <w:jc w:val="center"/>
              <w:rPr>
                <w:rFonts w:asciiTheme="majorEastAsia" w:hAnsiTheme="majorEastAsia" w:eastAsiaTheme="majorEastAsia" w:cstheme="majorEastAsia"/>
                <w:szCs w:val="21"/>
              </w:rPr>
            </w:pP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丁家坪居委会、马路坪、殷家桥、大庄坪村、北斗溪村、毛坪村、三红村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杨溪桥镇</w:t>
            </w:r>
          </w:p>
        </w:tc>
        <w:tc>
          <w:tcPr>
            <w:tcW w:w="2379" w:type="dxa"/>
            <w:vAlign w:val="center"/>
          </w:tcPr>
          <w:p>
            <w:pPr>
              <w:jc w:val="center"/>
              <w:rPr>
                <w:rFonts w:asciiTheme="majorEastAsia" w:hAnsiTheme="majorEastAsia" w:eastAsiaTheme="majorEastAsia" w:cstheme="majorEastAsia"/>
                <w:szCs w:val="21"/>
              </w:rPr>
            </w:pPr>
            <w:r>
              <w:rPr>
                <w:rFonts w:hint="eastAsia" w:ascii="宋体" w:hAnsi="宋体" w:eastAsia="宋体"/>
              </w:rPr>
              <w:t>岩吾溪村、牯牛山村、十八登村</w:t>
            </w:r>
          </w:p>
        </w:tc>
        <w:tc>
          <w:tcPr>
            <w:tcW w:w="2298" w:type="dxa"/>
            <w:vAlign w:val="center"/>
          </w:tcPr>
          <w:p>
            <w:pPr>
              <w:jc w:val="center"/>
              <w:rPr>
                <w:rFonts w:ascii="宋体" w:hAnsi="宋体" w:eastAsia="宋体"/>
              </w:rPr>
            </w:pPr>
            <w:r>
              <w:rPr>
                <w:rFonts w:hint="eastAsia" w:ascii="宋体" w:hAnsi="宋体" w:eastAsia="宋体"/>
              </w:rPr>
              <w:t>江里溪村、铁山溪村、</w:t>
            </w:r>
          </w:p>
          <w:p>
            <w:pPr>
              <w:jc w:val="center"/>
              <w:rPr>
                <w:rFonts w:ascii="宋体" w:hAnsi="宋体" w:eastAsia="宋体"/>
              </w:rPr>
            </w:pPr>
            <w:r>
              <w:rPr>
                <w:rFonts w:hint="eastAsia" w:ascii="宋体" w:hAnsi="宋体" w:eastAsia="宋体"/>
              </w:rPr>
              <w:t>羯羊铺村、朝阳庵村、</w:t>
            </w:r>
          </w:p>
          <w:p>
            <w:pPr>
              <w:jc w:val="center"/>
              <w:rPr>
                <w:rFonts w:ascii="宋体" w:hAnsi="宋体" w:eastAsia="宋体"/>
              </w:rPr>
            </w:pPr>
            <w:r>
              <w:rPr>
                <w:rFonts w:hint="eastAsia" w:ascii="宋体" w:hAnsi="宋体" w:eastAsia="宋体"/>
              </w:rPr>
              <w:t>蔡家塘村、煌山村、落</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马洞村</w:t>
            </w:r>
          </w:p>
        </w:tc>
        <w:tc>
          <w:tcPr>
            <w:tcW w:w="3911"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冷家溪居委会、沙堤村、黄泥田村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郑家驿镇</w:t>
            </w:r>
          </w:p>
        </w:tc>
        <w:tc>
          <w:tcPr>
            <w:tcW w:w="2379" w:type="dxa"/>
            <w:vAlign w:val="center"/>
          </w:tcPr>
          <w:p>
            <w:pPr>
              <w:jc w:val="center"/>
              <w:rPr>
                <w:rFonts w:asciiTheme="majorEastAsia" w:hAnsiTheme="majorEastAsia" w:eastAsiaTheme="majorEastAsia" w:cstheme="majorEastAsia"/>
                <w:szCs w:val="21"/>
              </w:rPr>
            </w:pPr>
            <w:r>
              <w:rPr>
                <w:rFonts w:hint="eastAsia" w:ascii="宋体" w:hAnsi="宋体" w:eastAsia="宋体"/>
              </w:rPr>
              <w:t>青铜溪村、游鹿溪村、五里村、三阳桥村</w:t>
            </w:r>
          </w:p>
        </w:tc>
        <w:tc>
          <w:tcPr>
            <w:tcW w:w="2298" w:type="dxa"/>
            <w:vAlign w:val="center"/>
          </w:tcPr>
          <w:p>
            <w:pPr>
              <w:jc w:val="center"/>
              <w:rPr>
                <w:rFonts w:asciiTheme="majorEastAsia" w:hAnsiTheme="majorEastAsia" w:eastAsiaTheme="majorEastAsia" w:cstheme="majorEastAsia"/>
                <w:szCs w:val="21"/>
              </w:rPr>
            </w:pPr>
            <w:r>
              <w:rPr>
                <w:rFonts w:hint="eastAsia" w:ascii="宋体" w:hAnsi="宋体" w:eastAsia="宋体"/>
              </w:rPr>
              <w:t>寺坪居委会、郑家河村、常吉村、麦家河村、澄溪桥村</w:t>
            </w: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鲜花村、梨子岗村、新石村、高岩村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木塘垸镇</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湖田村</w:t>
            </w:r>
          </w:p>
        </w:tc>
        <w:tc>
          <w:tcPr>
            <w:tcW w:w="2298" w:type="dxa"/>
            <w:vAlign w:val="center"/>
          </w:tcPr>
          <w:p>
            <w:pPr>
              <w:jc w:val="center"/>
              <w:rPr>
                <w:rFonts w:ascii="宋体" w:hAnsi="宋体" w:eastAsia="宋体"/>
              </w:rPr>
            </w:pPr>
            <w:r>
              <w:rPr>
                <w:rFonts w:hint="eastAsia" w:ascii="宋体" w:hAnsi="宋体" w:eastAsia="宋体"/>
              </w:rPr>
              <w:t>孔家河村、仁丰村、马</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鞍坡村</w:t>
            </w: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正洪居委会、金山村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青林乡</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九龙山村、莫南回维村、姜岩村、白洋河村</w:t>
            </w:r>
          </w:p>
        </w:tc>
        <w:tc>
          <w:tcPr>
            <w:tcW w:w="2298"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三岗村</w:t>
            </w: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采菱村、龙潭桥村、老官坪村、明月山、浯溪河村、督粮冲、金堰村、青林村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枫树乡</w:t>
            </w:r>
          </w:p>
        </w:tc>
        <w:tc>
          <w:tcPr>
            <w:tcW w:w="2379" w:type="dxa"/>
            <w:vAlign w:val="center"/>
          </w:tcPr>
          <w:p>
            <w:pPr>
              <w:jc w:val="center"/>
              <w:rPr>
                <w:rFonts w:asciiTheme="majorEastAsia" w:hAnsiTheme="majorEastAsia" w:eastAsiaTheme="majorEastAsia" w:cstheme="majorEastAsia"/>
                <w:szCs w:val="21"/>
              </w:rPr>
            </w:pPr>
            <w:r>
              <w:rPr>
                <w:rFonts w:hint="eastAsia" w:ascii="宋体" w:hAnsi="宋体" w:eastAsia="宋体"/>
              </w:rPr>
              <w:t>田河坝村</w:t>
            </w:r>
          </w:p>
        </w:tc>
        <w:tc>
          <w:tcPr>
            <w:tcW w:w="2298"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白洋河村、万福新村、</w:t>
            </w:r>
          </w:p>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红旗村、丰渡嘴村、金</w:t>
            </w:r>
          </w:p>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鸡村</w:t>
            </w:r>
          </w:p>
        </w:tc>
        <w:tc>
          <w:tcPr>
            <w:tcW w:w="391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庄家桥村、维回村、桐岭村、大马山村、金凤桥村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佘家坪乡</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新港村</w:t>
            </w:r>
          </w:p>
        </w:tc>
        <w:tc>
          <w:tcPr>
            <w:tcW w:w="2298" w:type="dxa"/>
            <w:vAlign w:val="center"/>
          </w:tcPr>
          <w:p>
            <w:pPr>
              <w:jc w:val="center"/>
              <w:rPr>
                <w:rFonts w:ascii="宋体" w:hAnsi="宋体" w:eastAsia="宋体"/>
              </w:rPr>
            </w:pPr>
            <w:r>
              <w:rPr>
                <w:rFonts w:hint="eastAsia" w:ascii="宋体" w:hAnsi="宋体" w:eastAsia="宋体"/>
              </w:rPr>
              <w:t>苏家堆村、龙潮寺村、</w:t>
            </w:r>
          </w:p>
          <w:p>
            <w:pPr>
              <w:jc w:val="center"/>
              <w:rPr>
                <w:rFonts w:ascii="宋体" w:hAnsi="宋体" w:eastAsia="宋体"/>
              </w:rPr>
            </w:pPr>
            <w:r>
              <w:rPr>
                <w:rFonts w:hint="eastAsia" w:ascii="宋体" w:hAnsi="宋体" w:eastAsia="宋体"/>
              </w:rPr>
              <w:t>雷峰山村、前山桥村、</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南岳殿村</w:t>
            </w: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三圣殿村、赫曦峪村、龙阳坪村、东岳殿村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2"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w:t>
            </w:r>
          </w:p>
        </w:tc>
        <w:tc>
          <w:tcPr>
            <w:tcW w:w="1200" w:type="dxa"/>
            <w:vAlign w:val="center"/>
          </w:tcPr>
          <w:p>
            <w:pPr>
              <w:spacing w:line="3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泥窝潭乡</w:t>
            </w:r>
          </w:p>
        </w:tc>
        <w:tc>
          <w:tcPr>
            <w:tcW w:w="2379" w:type="dxa"/>
            <w:vAlign w:val="center"/>
          </w:tcPr>
          <w:p>
            <w:pPr>
              <w:spacing w:line="340" w:lineRule="exact"/>
              <w:jc w:val="center"/>
              <w:rPr>
                <w:rFonts w:asciiTheme="majorEastAsia" w:hAnsiTheme="majorEastAsia" w:eastAsiaTheme="majorEastAsia" w:cstheme="majorEastAsia"/>
                <w:szCs w:val="21"/>
              </w:rPr>
            </w:pPr>
            <w:r>
              <w:rPr>
                <w:rFonts w:hint="eastAsia" w:ascii="宋体" w:hAnsi="宋体" w:eastAsia="宋体"/>
              </w:rPr>
              <w:t>古岩堉村、青龙山村</w:t>
            </w:r>
          </w:p>
        </w:tc>
        <w:tc>
          <w:tcPr>
            <w:tcW w:w="2298" w:type="dxa"/>
            <w:vAlign w:val="center"/>
          </w:tcPr>
          <w:p>
            <w:pPr>
              <w:jc w:val="center"/>
              <w:rPr>
                <w:rFonts w:ascii="宋体" w:hAnsi="宋体" w:eastAsia="宋体"/>
              </w:rPr>
            </w:pPr>
            <w:r>
              <w:rPr>
                <w:rFonts w:hint="eastAsia" w:ascii="宋体" w:hAnsi="宋体" w:eastAsia="宋体"/>
              </w:rPr>
              <w:t>牛车磴村、灵雨寺村、</w:t>
            </w:r>
          </w:p>
          <w:p>
            <w:pPr>
              <w:jc w:val="center"/>
              <w:rPr>
                <w:rFonts w:ascii="宋体" w:hAnsi="宋体" w:eastAsia="宋体"/>
              </w:rPr>
            </w:pPr>
            <w:r>
              <w:rPr>
                <w:rFonts w:hint="eastAsia" w:ascii="宋体" w:hAnsi="宋体" w:eastAsia="宋体"/>
              </w:rPr>
              <w:t>燕岩庙村、官宦坪村、</w:t>
            </w:r>
          </w:p>
          <w:p>
            <w:pPr>
              <w:spacing w:line="340" w:lineRule="exact"/>
              <w:jc w:val="center"/>
              <w:rPr>
                <w:rFonts w:asciiTheme="majorEastAsia" w:hAnsiTheme="majorEastAsia" w:eastAsiaTheme="majorEastAsia" w:cstheme="majorEastAsia"/>
                <w:szCs w:val="21"/>
              </w:rPr>
            </w:pPr>
            <w:r>
              <w:rPr>
                <w:rFonts w:hint="eastAsia" w:ascii="宋体" w:hAnsi="宋体" w:eastAsia="宋体"/>
              </w:rPr>
              <w:t>枫树坪村</w:t>
            </w:r>
          </w:p>
        </w:tc>
        <w:tc>
          <w:tcPr>
            <w:tcW w:w="3911" w:type="dxa"/>
            <w:vAlign w:val="center"/>
          </w:tcPr>
          <w:p>
            <w:pPr>
              <w:jc w:val="center"/>
              <w:rPr>
                <w:rFonts w:asciiTheme="majorEastAsia" w:hAnsiTheme="majorEastAsia" w:eastAsiaTheme="majorEastAsia" w:cstheme="majorEastAsia"/>
                <w:szCs w:val="21"/>
              </w:rPr>
            </w:pPr>
            <w:r>
              <w:rPr>
                <w:rFonts w:hint="eastAsia" w:ascii="宋体" w:hAnsi="宋体" w:eastAsia="宋体"/>
              </w:rPr>
              <w:t>岩溪寺村</w:t>
            </w:r>
          </w:p>
        </w:tc>
      </w:tr>
    </w:tbl>
    <w:p>
      <w:pPr>
        <w:spacing w:line="360" w:lineRule="auto"/>
        <w:jc w:val="left"/>
        <w:rPr>
          <w:rFonts w:ascii="黑体" w:hAnsi="黑体" w:eastAsia="黑体" w:cs="黑体"/>
          <w:sz w:val="30"/>
          <w:szCs w:val="30"/>
        </w:rPr>
      </w:pPr>
    </w:p>
    <w:p>
      <w:pPr>
        <w:spacing w:line="360" w:lineRule="auto"/>
        <w:jc w:val="left"/>
        <w:rPr>
          <w:rFonts w:ascii="黑体" w:hAnsi="黑体" w:eastAsia="黑体" w:cs="黑体"/>
          <w:b/>
          <w:bCs/>
          <w:sz w:val="30"/>
          <w:szCs w:val="30"/>
        </w:rPr>
      </w:pPr>
      <w:r>
        <w:rPr>
          <w:rFonts w:hint="eastAsia" w:ascii="黑体" w:hAnsi="黑体" w:eastAsia="黑体" w:cs="黑体"/>
          <w:b/>
          <w:bCs/>
          <w:sz w:val="30"/>
          <w:szCs w:val="30"/>
        </w:rPr>
        <w:t>4.6 固体废物处理处置</w:t>
      </w:r>
    </w:p>
    <w:p>
      <w:pPr>
        <w:spacing w:line="360" w:lineRule="auto"/>
        <w:jc w:val="left"/>
        <w:rPr>
          <w:rFonts w:ascii="黑体" w:hAnsi="黑体" w:eastAsia="黑体" w:cs="黑体"/>
          <w:b/>
          <w:bCs/>
          <w:sz w:val="28"/>
          <w:szCs w:val="28"/>
        </w:rPr>
      </w:pPr>
      <w:r>
        <w:rPr>
          <w:rFonts w:hint="eastAsia" w:ascii="黑体" w:hAnsi="黑体" w:eastAsia="黑体" w:cs="黑体"/>
          <w:b/>
          <w:bCs/>
          <w:sz w:val="28"/>
          <w:szCs w:val="28"/>
        </w:rPr>
        <w:t>4.6.1 处理处置原则</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（1）统筹农村生活污水与污泥、粪污、隔油栅渣等固体废物处理处置。参考《农村生活污水</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处理工程技术标准》（GB/T 51347），对污水处理中产生的污泥，采用自然干化、堆肥等方式，也可采用与农村固体有机物协同处理或进入市政系统与市政污泥一并处理。</w:t>
      </w:r>
    </w:p>
    <w:p>
      <w:pPr>
        <w:numPr>
          <w:ilvl w:val="0"/>
          <w:numId w:val="4"/>
        </w:num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鼓励对固体废物进行资源化利用。参考《农用污泥污染物控制标准》（GB 4284）、《城镇污水处理厂污泥处置园林绿化用泥质》（GB/T 23486）等相关要求，对满足标准的固体废物，就近处理与资源化利用。</w:t>
      </w: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黑体" w:hAnsi="黑体" w:eastAsia="黑体" w:cs="黑体"/>
          <w:b/>
          <w:bCs/>
          <w:sz w:val="28"/>
          <w:szCs w:val="28"/>
        </w:rPr>
      </w:pPr>
      <w:r>
        <w:rPr>
          <w:rFonts w:hint="eastAsia" w:ascii="黑体" w:hAnsi="黑体" w:eastAsia="黑体" w:cs="黑体"/>
          <w:b/>
          <w:bCs/>
          <w:sz w:val="28"/>
          <w:szCs w:val="28"/>
        </w:rPr>
        <w:t>4.6.2 处理处置方式</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根据本项目农村污水处理设施规模不大、污泥量少的特点，对集中式污水处理设施产生的污泥</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采用就近土地利用与集中至城市污水处理厂统一处理处置相结合的方式。满足农用标准的污泥，优</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先就近土地利用；不能实现就近就地资源化利用的污泥，通过污泥收集车定期收集后，运送至相应</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的生活污水处理厂污泥处理设施，统一处理处置。栅渣按农村生活垃圾进行收运处理，收集至附近</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农村生活垃圾转运站，再进行统一处理。化粪池需定期清理，发酵完全后农田回用。</w:t>
      </w:r>
    </w:p>
    <w:p>
      <w:pPr>
        <w:spacing w:line="360" w:lineRule="auto"/>
        <w:jc w:val="left"/>
        <w:rPr>
          <w:rFonts w:ascii="黑体" w:hAnsi="黑体" w:eastAsia="黑体" w:cs="黑体"/>
          <w:b/>
          <w:bCs/>
          <w:sz w:val="30"/>
          <w:szCs w:val="30"/>
        </w:rPr>
      </w:pPr>
      <w:r>
        <w:rPr>
          <w:rFonts w:hint="eastAsia" w:ascii="黑体" w:hAnsi="黑体" w:eastAsia="黑体" w:cs="黑体"/>
          <w:b/>
          <w:bCs/>
          <w:sz w:val="30"/>
          <w:szCs w:val="30"/>
        </w:rPr>
        <w:t>4.7 验收移交</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农村生活污水处理设施建设既要保证工程质量合格，也要保证出水水质达标。工程验收后，项</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目实施及管理部门应妥善保管竣工图等相关资料，以备查验。环保验收和运维移交应确保污水处理</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水质水量、工艺、规模与设计相符，设备材料完整。对生活污水处理设施建设和运维统一打包、</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不存在运维移交环节的，应因地制宜进行管理。</w:t>
      </w: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第5章</w:t>
      </w:r>
      <w:r>
        <w:rPr>
          <w:rFonts w:hint="eastAsia" w:asciiTheme="majorEastAsia" w:hAnsiTheme="majorEastAsia" w:eastAsiaTheme="majorEastAsia" w:cstheme="majorEastAsia"/>
          <w:b/>
          <w:bCs/>
          <w:sz w:val="44"/>
          <w:szCs w:val="44"/>
        </w:rPr>
        <w:tab/>
      </w:r>
      <w:r>
        <w:rPr>
          <w:rFonts w:hint="eastAsia" w:asciiTheme="majorEastAsia" w:hAnsiTheme="majorEastAsia" w:eastAsiaTheme="majorEastAsia" w:cstheme="majorEastAsia"/>
          <w:b/>
          <w:bCs/>
          <w:sz w:val="44"/>
          <w:szCs w:val="44"/>
        </w:rPr>
        <w:t>设施运行管理</w:t>
      </w:r>
    </w:p>
    <w:p>
      <w:pPr>
        <w:spacing w:line="360" w:lineRule="auto"/>
        <w:rPr>
          <w:rFonts w:ascii="黑体" w:hAnsi="黑体" w:eastAsia="黑体" w:cs="黑体"/>
          <w:sz w:val="30"/>
          <w:szCs w:val="30"/>
        </w:rPr>
      </w:pPr>
    </w:p>
    <w:p>
      <w:pPr>
        <w:spacing w:line="360" w:lineRule="auto"/>
        <w:rPr>
          <w:rFonts w:ascii="黑体" w:hAnsi="黑体" w:eastAsia="黑体" w:cs="黑体"/>
          <w:b/>
          <w:bCs/>
          <w:sz w:val="30"/>
          <w:szCs w:val="30"/>
        </w:rPr>
      </w:pPr>
      <w:r>
        <w:rPr>
          <w:rFonts w:hint="eastAsia" w:ascii="黑体" w:hAnsi="黑体" w:eastAsia="黑体" w:cs="黑体"/>
          <w:b/>
          <w:bCs/>
          <w:sz w:val="30"/>
          <w:szCs w:val="30"/>
        </w:rPr>
        <w:t>5.1  运维管理</w:t>
      </w:r>
    </w:p>
    <w:p>
      <w:pPr>
        <w:spacing w:line="360" w:lineRule="auto"/>
        <w:rPr>
          <w:rFonts w:ascii="黑体" w:hAnsi="黑体" w:eastAsia="黑体" w:cs="黑体"/>
          <w:b/>
          <w:bCs/>
          <w:sz w:val="28"/>
          <w:szCs w:val="28"/>
        </w:rPr>
      </w:pPr>
      <w:r>
        <w:rPr>
          <w:rFonts w:hint="eastAsia" w:ascii="黑体" w:hAnsi="黑体" w:eastAsia="黑体" w:cs="黑体"/>
          <w:b/>
          <w:bCs/>
          <w:sz w:val="28"/>
          <w:szCs w:val="28"/>
        </w:rPr>
        <w:t>5.1.1  组织架构</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建立以县级政府为责任主体、乡镇（街道）为管理主体、村级组织为落实主体、农户为受益主 体、运维机构为服务主体的农村生活污水处理设施“五位一体”运维管理体系。</w:t>
      </w:r>
    </w:p>
    <w:p>
      <w:pPr>
        <w:spacing w:line="360" w:lineRule="auto"/>
        <w:jc w:val="left"/>
        <w:rPr>
          <w:rFonts w:asciiTheme="majorEastAsia" w:hAnsiTheme="majorEastAsia" w:eastAsiaTheme="majorEastAsia" w:cstheme="majorEastAsia"/>
          <w:sz w:val="22"/>
          <w:szCs w:val="22"/>
        </w:rPr>
      </w:pPr>
      <w:r>
        <w:drawing>
          <wp:anchor distT="0" distB="0" distL="114935" distR="114935" simplePos="0" relativeHeight="251662336" behindDoc="1" locked="0" layoutInCell="1" allowOverlap="1">
            <wp:simplePos x="0" y="0"/>
            <wp:positionH relativeFrom="page">
              <wp:posOffset>902970</wp:posOffset>
            </wp:positionH>
            <wp:positionV relativeFrom="paragraph">
              <wp:posOffset>100330</wp:posOffset>
            </wp:positionV>
            <wp:extent cx="5353685" cy="4355465"/>
            <wp:effectExtent l="0" t="0" r="18415" b="6985"/>
            <wp:wrapTight wrapText="bothSides">
              <wp:wrapPolygon>
                <wp:start x="0" y="0"/>
                <wp:lineTo x="0" y="21540"/>
                <wp:lineTo x="21521" y="21540"/>
                <wp:lineTo x="21521" y="0"/>
                <wp:lineTo x="0"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cstate="print"/>
                    <a:stretch>
                      <a:fillRect/>
                    </a:stretch>
                  </pic:blipFill>
                  <pic:spPr>
                    <a:xfrm>
                      <a:off x="0" y="0"/>
                      <a:ext cx="5353685" cy="4355465"/>
                    </a:xfrm>
                    <a:prstGeom prst="rect">
                      <a:avLst/>
                    </a:prstGeom>
                    <a:noFill/>
                    <a:ln w="9525">
                      <a:noFill/>
                    </a:ln>
                  </pic:spPr>
                </pic:pic>
              </a:graphicData>
            </a:graphic>
          </wp:anchor>
        </w:drawing>
      </w: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rPr>
          <w:rFonts w:ascii="黑体" w:hAnsi="黑体" w:eastAsia="黑体" w:cs="黑体"/>
          <w:b/>
          <w:bCs/>
          <w:sz w:val="30"/>
          <w:szCs w:val="30"/>
        </w:rPr>
      </w:pPr>
    </w:p>
    <w:p>
      <w:pPr>
        <w:spacing w:line="500" w:lineRule="exact"/>
        <w:jc w:val="center"/>
        <w:rPr>
          <w:rFonts w:ascii="黑体" w:hAnsi="黑体" w:eastAsia="黑体" w:cs="黑体"/>
          <w:b/>
          <w:bCs/>
          <w:sz w:val="30"/>
          <w:szCs w:val="30"/>
        </w:rPr>
      </w:pPr>
      <w:r>
        <w:rPr>
          <w:rFonts w:hint="eastAsia" w:ascii="黑体" w:hAnsi="黑体" w:eastAsia="黑体" w:cs="黑体"/>
          <w:sz w:val="24"/>
        </w:rPr>
        <w:t>图</w:t>
      </w:r>
      <w:r>
        <w:rPr>
          <w:rFonts w:hint="eastAsia" w:ascii="黑体" w:hAnsi="黑体" w:eastAsia="黑体" w:cs="黑体"/>
          <w:spacing w:val="49"/>
          <w:sz w:val="24"/>
        </w:rPr>
        <w:t xml:space="preserve"> </w:t>
      </w:r>
      <w:r>
        <w:rPr>
          <w:rFonts w:hint="eastAsia" w:ascii="黑体" w:hAnsi="黑体" w:eastAsia="黑体" w:cs="黑体"/>
          <w:b/>
          <w:bCs/>
          <w:sz w:val="24"/>
        </w:rPr>
        <w:t>5</w:t>
      </w:r>
      <w:r>
        <w:rPr>
          <w:rFonts w:hint="eastAsia" w:ascii="黑体" w:hAnsi="黑体" w:eastAsia="黑体" w:cs="黑体"/>
          <w:b/>
          <w:bCs/>
          <w:spacing w:val="-1"/>
          <w:sz w:val="24"/>
        </w:rPr>
        <w:t>-</w:t>
      </w:r>
      <w:r>
        <w:rPr>
          <w:rFonts w:hint="eastAsia" w:ascii="黑体" w:hAnsi="黑体" w:eastAsia="黑体" w:cs="黑体"/>
          <w:b/>
          <w:bCs/>
          <w:sz w:val="24"/>
        </w:rPr>
        <w:t xml:space="preserve">1  </w:t>
      </w:r>
      <w:r>
        <w:rPr>
          <w:rFonts w:hint="eastAsia" w:ascii="黑体" w:hAnsi="黑体" w:eastAsia="黑体" w:cs="黑体"/>
          <w:sz w:val="24"/>
        </w:rPr>
        <w:t>五</w:t>
      </w:r>
      <w:r>
        <w:rPr>
          <w:rFonts w:hint="eastAsia" w:ascii="黑体" w:hAnsi="黑体" w:eastAsia="黑体" w:cs="黑体"/>
          <w:spacing w:val="2"/>
          <w:sz w:val="24"/>
        </w:rPr>
        <w:t>位</w:t>
      </w:r>
      <w:r>
        <w:rPr>
          <w:rFonts w:hint="eastAsia" w:ascii="黑体" w:hAnsi="黑体" w:eastAsia="黑体" w:cs="黑体"/>
          <w:sz w:val="24"/>
        </w:rPr>
        <w:t>一</w:t>
      </w:r>
      <w:r>
        <w:rPr>
          <w:rFonts w:hint="eastAsia" w:ascii="黑体" w:hAnsi="黑体" w:eastAsia="黑体" w:cs="黑体"/>
          <w:spacing w:val="2"/>
          <w:sz w:val="24"/>
        </w:rPr>
        <w:t>体</w:t>
      </w:r>
      <w:r>
        <w:rPr>
          <w:rFonts w:hint="eastAsia" w:ascii="黑体" w:hAnsi="黑体" w:eastAsia="黑体" w:cs="黑体"/>
          <w:sz w:val="24"/>
        </w:rPr>
        <w:t>运维</w:t>
      </w:r>
      <w:r>
        <w:rPr>
          <w:rFonts w:hint="eastAsia" w:ascii="黑体" w:hAnsi="黑体" w:eastAsia="黑体" w:cs="黑体"/>
          <w:spacing w:val="2"/>
          <w:sz w:val="24"/>
        </w:rPr>
        <w:t>管</w:t>
      </w:r>
      <w:r>
        <w:rPr>
          <w:rFonts w:hint="eastAsia" w:ascii="黑体" w:hAnsi="黑体" w:eastAsia="黑体" w:cs="黑体"/>
          <w:sz w:val="24"/>
        </w:rPr>
        <w:t>理</w:t>
      </w:r>
      <w:r>
        <w:rPr>
          <w:rFonts w:hint="eastAsia" w:ascii="黑体" w:hAnsi="黑体" w:eastAsia="黑体" w:cs="黑体"/>
          <w:spacing w:val="2"/>
          <w:sz w:val="24"/>
        </w:rPr>
        <w:t>框</w:t>
      </w:r>
      <w:r>
        <w:rPr>
          <w:rFonts w:hint="eastAsia" w:ascii="黑体" w:hAnsi="黑体" w:eastAsia="黑体" w:cs="黑体"/>
          <w:sz w:val="24"/>
        </w:rPr>
        <w:t>架图</w:t>
      </w:r>
    </w:p>
    <w:p>
      <w:pPr>
        <w:spacing w:line="500" w:lineRule="exact"/>
        <w:rPr>
          <w:rFonts w:ascii="黑体" w:hAnsi="黑体" w:eastAsia="黑体" w:cs="黑体"/>
          <w:b/>
          <w:bCs/>
          <w:sz w:val="30"/>
          <w:szCs w:val="30"/>
        </w:rPr>
      </w:pPr>
    </w:p>
    <w:p>
      <w:pPr>
        <w:spacing w:line="500" w:lineRule="exact"/>
        <w:rPr>
          <w:rFonts w:ascii="黑体" w:hAnsi="黑体" w:eastAsia="黑体" w:cs="黑体"/>
          <w:b/>
          <w:bCs/>
          <w:sz w:val="28"/>
          <w:szCs w:val="28"/>
        </w:rPr>
      </w:pPr>
      <w:r>
        <w:rPr>
          <w:rFonts w:hint="eastAsia" w:ascii="黑体" w:hAnsi="黑体" w:eastAsia="黑体" w:cs="黑体"/>
          <w:b/>
          <w:bCs/>
          <w:sz w:val="28"/>
          <w:szCs w:val="28"/>
        </w:rPr>
        <w:t>5.1.2  设施运维模式</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桃源县农村生活污水治理设施运维整体以乡镇（环保站）为单元实施分片运行维护管理，对纳</w:t>
      </w:r>
    </w:p>
    <w:p>
      <w:pPr>
        <w:spacing w:line="50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入城镇污水处理厂的村（居）采用城乡一体化运维方式，其他村（居）的处理设施运行、维护和维 修、保养由第三方专业运维单位按片区托管或总承包的方式开展运维管理服务；对所处地区偏远、布局分散、运维技术水平要求不高的村庄，可采用自行运维方式。运维管理的设施应包括处理设施</w:t>
      </w:r>
    </w:p>
    <w:p>
      <w:pPr>
        <w:spacing w:line="50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和配套管网系统，不宜拆分管理。</w:t>
      </w:r>
    </w:p>
    <w:p>
      <w:pPr>
        <w:spacing w:line="500" w:lineRule="exact"/>
        <w:rPr>
          <w:rFonts w:ascii="黑体" w:hAnsi="黑体" w:eastAsia="黑体" w:cs="黑体"/>
          <w:b/>
          <w:bCs/>
          <w:sz w:val="30"/>
          <w:szCs w:val="30"/>
        </w:rPr>
      </w:pPr>
      <w:r>
        <w:rPr>
          <w:rFonts w:hint="eastAsia" w:ascii="黑体" w:hAnsi="黑体" w:eastAsia="黑体" w:cs="黑体"/>
          <w:b/>
          <w:bCs/>
          <w:sz w:val="30"/>
          <w:szCs w:val="30"/>
        </w:rPr>
        <w:t>5.1.3  设施运维服务</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（1）农户污水收集与资源化利用设施的运维管理由受益农户负责，主要职责是对化粪池和接 户井以内管网进行清掏及维护。</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（2）接户井外管网系统和处理设施由运维服务机构负责，分散式污水处理设施运维宜由农户 负责，并接受运维服务机构的指导。</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（3）运维服务机构应具备相应的专业服务能力，并建立设施运行维护管理制度，通过信息化</w:t>
      </w:r>
    </w:p>
    <w:p>
      <w:pPr>
        <w:spacing w:line="50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手段提高运维管理效率和管理水平。参考《农村生活污水处理工程技术标准》 （GB/T 51347 ）要 求，对农村生活污水管道及附属物做定期检修排查，定期清理处理设施且做好运维记录，定期对终端设施的进出水水质和水量进行观察记录、按规定对进出水水质进行抽样检测，定期对乡镇、村庄和农户等参与污水处理设施运维的人员开展技术管理培训，提高规范化水平。</w:t>
      </w:r>
    </w:p>
    <w:p>
      <w:pPr>
        <w:spacing w:line="500" w:lineRule="exact"/>
        <w:rPr>
          <w:rFonts w:ascii="黑体" w:hAnsi="黑体" w:eastAsia="黑体" w:cs="黑体"/>
          <w:b/>
          <w:bCs/>
          <w:sz w:val="30"/>
          <w:szCs w:val="30"/>
        </w:rPr>
      </w:pPr>
      <w:r>
        <w:rPr>
          <w:rFonts w:hint="eastAsia" w:ascii="黑体" w:hAnsi="黑体" w:eastAsia="黑体" w:cs="黑体"/>
          <w:b/>
          <w:bCs/>
          <w:sz w:val="30"/>
          <w:szCs w:val="30"/>
        </w:rPr>
        <w:t>5.1.4  建设和运维机制</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（1）建立以“五位一体”农村生活污水设施运维管理体系，完善制度建设。</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（2）完善法规政策，颁布农村生活污水治理管理办法，以全方位的政策法规保障有效的农村生活污水治理，保证农村生活污水治理的成效。</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（3）优化运维管理体系，实现户内设施由农户自负其责的长效管理机制，形成终端、管网统一运维的第三方服务模式。</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（4）加强对第三方专业服务机构的督查考核，规范日常管理，督查考核结果与运维服务费用拨付挂钩。同时及时处理生态环境局、住建局、农业农村局等相关部门针对农村生活污水治理设施 的意见及建议。切实加强农村经营企业、个人等生活污水的收集处理工作，对擅自将不符合接入条 件的污水接入农村生活污水的处理设施的企业、个人采取批评教育处罚等措施，尤其是村内农家乐 餐饮污水必须设置隔油池预处理，方可排入管网，确保农村生活污水治理设施一次建成、长久使用、</w:t>
      </w:r>
    </w:p>
    <w:p>
      <w:pPr>
        <w:spacing w:line="50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持续发挥效用，切实改善农村环境。</w:t>
      </w:r>
    </w:p>
    <w:p>
      <w:pPr>
        <w:spacing w:line="50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（5）实行考核激励，对农村生活污水治理设施运维管理工作表现优秀的予以奖励，对指导服务不利的部门和管理不到位的单位，及时汇报上级，予以严格问责。重点考核终端运行率及终端运</w:t>
      </w:r>
    </w:p>
    <w:p>
      <w:pPr>
        <w:spacing w:line="360" w:lineRule="auto"/>
        <w:jc w:val="left"/>
        <w:rPr>
          <w:rFonts w:asciiTheme="majorEastAsia" w:hAnsiTheme="majorEastAsia" w:eastAsiaTheme="majorEastAsia" w:cstheme="majorEastAsia"/>
          <w:sz w:val="22"/>
          <w:szCs w:val="22"/>
        </w:rPr>
      </w:pPr>
    </w:p>
    <w:p>
      <w:pPr>
        <w:spacing w:line="52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行出水合格率的两项指标，定期对农村生活污水治理设施的运行维护保养进行指导、监管，及时做</w:t>
      </w:r>
    </w:p>
    <w:p>
      <w:pPr>
        <w:spacing w:line="52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好运维管理工作考核报告，完善农村生活污水治理设施运维监管服务平台的建设，同时应当接受群 众举报，及时传达群众意见，可以设置监督员，对污水处理设施出现不正常运转、其他污染源私自 接入管网或农户侵占终端场地等情况，及时上报。</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（6）探索建立污水治理受益农户付费制度，对使用自来水的农户将污水处理费用纳入自来水价中；对采用纳管处理模式、集中处理达标排放模式、分散处理达标排放模式的自供水农户按户或 用水量支付污水处理费用，逐步实现受益农户污水处理付费制度。</w:t>
      </w:r>
    </w:p>
    <w:p>
      <w:pPr>
        <w:spacing w:line="520" w:lineRule="exact"/>
        <w:rPr>
          <w:rFonts w:ascii="黑体" w:hAnsi="黑体" w:eastAsia="黑体" w:cs="黑体"/>
          <w:b/>
          <w:bCs/>
          <w:sz w:val="30"/>
          <w:szCs w:val="30"/>
        </w:rPr>
      </w:pPr>
      <w:r>
        <w:rPr>
          <w:rFonts w:hint="eastAsia" w:ascii="黑体" w:hAnsi="黑体" w:eastAsia="黑体" w:cs="黑体"/>
          <w:b/>
          <w:bCs/>
          <w:sz w:val="30"/>
          <w:szCs w:val="30"/>
        </w:rPr>
        <w:t>5.2  环境监管</w:t>
      </w:r>
    </w:p>
    <w:p>
      <w:pPr>
        <w:spacing w:line="520" w:lineRule="exact"/>
        <w:rPr>
          <w:rFonts w:ascii="黑体" w:hAnsi="黑体" w:eastAsia="黑体" w:cs="黑体"/>
          <w:b/>
          <w:bCs/>
          <w:sz w:val="28"/>
          <w:szCs w:val="28"/>
        </w:rPr>
      </w:pPr>
      <w:r>
        <w:rPr>
          <w:rFonts w:hint="eastAsia" w:ascii="黑体" w:hAnsi="黑体" w:eastAsia="黑体" w:cs="黑体"/>
          <w:b/>
          <w:bCs/>
          <w:sz w:val="28"/>
          <w:szCs w:val="28"/>
        </w:rPr>
        <w:t>5.2.1  监测制度</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（1）加强对日处理能力 20 吨及以上的农村生活污水处理设施出水水质监测，日处理能力20 吨及以下的农村生活污水处理设施，不定期开展监测。</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（2）以县域为单位建立和完善处理设施管理台账，包括基础档案信息数据库和数字化监管平 台建设，建立终端管理信息反馈机制，掌握县域农村生活污水处理设施分布和运行情况。综合运用 互联网、物联网等技术，实现数据整合，远程可监管，信息及时传达，降低维护人员成本。积极推 进农村生活污水运维管理的规范化、法制化、智能化，切实强化责任，落实各项保障，做到“设施 硬件达标”“出水水质达标”和“日常运维达标”，以点带面提升全县农村生活污水治理设施运维管理水平。实现了全县农村生活污水处理的可监管、可追溯、可考评“全程监管”的目标。</w:t>
      </w:r>
    </w:p>
    <w:p>
      <w:pPr>
        <w:spacing w:line="520" w:lineRule="exact"/>
        <w:rPr>
          <w:rFonts w:ascii="黑体" w:hAnsi="黑体" w:eastAsia="黑体" w:cs="黑体"/>
          <w:b/>
          <w:bCs/>
          <w:sz w:val="28"/>
          <w:szCs w:val="28"/>
        </w:rPr>
      </w:pPr>
      <w:r>
        <w:rPr>
          <w:rFonts w:hint="eastAsia" w:ascii="黑体" w:hAnsi="黑体" w:eastAsia="黑体" w:cs="黑体"/>
          <w:b/>
          <w:bCs/>
          <w:sz w:val="28"/>
          <w:szCs w:val="28"/>
        </w:rPr>
        <w:t>5.2.2  考核体系</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由县人民政府统一组织，制定并执行县域农村生活污水处理设施运维管理工作考核办法。从出 水达标率、设施正常运行情况、吨水运行成本等方面评价农村生活污水处理设施运行维护情况，评 价结果作为运维管理部门对运维机构服务质量考核依据之一，考核结果与运维费用支付挂钩。出台 “以奖代补政策”，并与县对各乡镇年度考核挂钩。</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运维公司作为农村生活污水第三方运维机构，为更好地做好各项运维工作，应结合公司实际， 制定公司运维内部管理体系相关制度，详细规定组织机构、岗位工作职责、选聘、培训、考核评价 制度、档案资料管理制度、施工现场管理制度、应急管理制度、农户投诉处理办法及流程、农户满</w:t>
      </w: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意度调查制度等。逐步完善运维管理系统。建议加强对运维人员专业度的重视，强化运维队伍规范</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性，定期开展专业培训，采用人员分级培训方式，有侧重的加深理念观念与提升技术水平，并可采 取淘汰竞争机制。在各乡镇配备专业工程师、水处理专家等，定期、及时为乡镇水处理提供技术服 务。</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建立健全群众参与监督工作机制，有效发挥群众主体作用，充分调动广大群众积极参与并监督 农村生活污水处理设施运行情况，提高运维管理水平。</w:t>
      </w: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第6章</w:t>
      </w:r>
      <w:r>
        <w:rPr>
          <w:rFonts w:hint="eastAsia" w:asciiTheme="majorEastAsia" w:hAnsiTheme="majorEastAsia" w:eastAsiaTheme="majorEastAsia" w:cstheme="majorEastAsia"/>
          <w:b/>
          <w:bCs/>
          <w:sz w:val="44"/>
          <w:szCs w:val="44"/>
        </w:rPr>
        <w:tab/>
      </w:r>
      <w:r>
        <w:rPr>
          <w:rFonts w:hint="eastAsia" w:asciiTheme="majorEastAsia" w:hAnsiTheme="majorEastAsia" w:eastAsiaTheme="majorEastAsia" w:cstheme="majorEastAsia"/>
          <w:b/>
          <w:bCs/>
          <w:sz w:val="44"/>
          <w:szCs w:val="44"/>
        </w:rPr>
        <w:t>工程估算与资金筹措</w:t>
      </w:r>
    </w:p>
    <w:p>
      <w:pPr>
        <w:spacing w:line="360" w:lineRule="auto"/>
        <w:rPr>
          <w:rFonts w:ascii="黑体" w:hAnsi="黑体" w:eastAsia="黑体" w:cs="黑体"/>
          <w:sz w:val="30"/>
          <w:szCs w:val="30"/>
        </w:rPr>
      </w:pPr>
    </w:p>
    <w:p>
      <w:pPr>
        <w:spacing w:line="360" w:lineRule="auto"/>
        <w:rPr>
          <w:rFonts w:ascii="黑体" w:hAnsi="黑体" w:eastAsia="黑体" w:cs="黑体"/>
          <w:b/>
          <w:bCs/>
          <w:sz w:val="30"/>
          <w:szCs w:val="30"/>
        </w:rPr>
      </w:pPr>
      <w:r>
        <w:rPr>
          <w:rFonts w:hint="eastAsia" w:ascii="黑体" w:hAnsi="黑体" w:eastAsia="黑体" w:cs="黑体"/>
          <w:b/>
          <w:bCs/>
          <w:sz w:val="30"/>
          <w:szCs w:val="30"/>
        </w:rPr>
        <w:t>6.1  工程概况</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本次农村生活污水治理专项规划涉及全县 2 个街道、22 个镇、4 个乡，共计 413 个行政村（居）， 其中已规划全部纳入城镇污水处理厂的行政村（居）为 54 个，拟治理的行政村（居）为 359 个。 共建设集中式污水处理站 423 个，分散式污水处理设施 168729 套，配套污水管网 407km，工程综 合占地 65.44  亩。农村改厕由农业农村部门负责，本规划建设内容中不包括改厕工程。</w:t>
      </w:r>
    </w:p>
    <w:p>
      <w:pPr>
        <w:spacing w:line="360" w:lineRule="auto"/>
        <w:jc w:val="center"/>
        <w:rPr>
          <w:rFonts w:asciiTheme="majorEastAsia" w:hAnsiTheme="majorEastAsia" w:eastAsiaTheme="majorEastAsia" w:cstheme="majorEastAsia"/>
          <w:sz w:val="22"/>
          <w:szCs w:val="22"/>
        </w:rPr>
      </w:pPr>
      <w:r>
        <w:rPr>
          <w:rFonts w:hint="eastAsia" w:ascii="黑体" w:hAnsi="黑体" w:eastAsia="黑体" w:cs="黑体"/>
          <w:b/>
          <w:bCs/>
          <w:sz w:val="22"/>
          <w:szCs w:val="22"/>
        </w:rPr>
        <w:t>表 6- 1  农村生活污水处理设施建设工程量清单</w:t>
      </w:r>
    </w:p>
    <w:tbl>
      <w:tblPr>
        <w:tblStyle w:val="5"/>
        <w:tblW w:w="9240" w:type="dxa"/>
        <w:tblInd w:w="95" w:type="dxa"/>
        <w:tblLayout w:type="fixed"/>
        <w:tblCellMar>
          <w:top w:w="0" w:type="dxa"/>
          <w:left w:w="0" w:type="dxa"/>
          <w:bottom w:w="0" w:type="dxa"/>
          <w:right w:w="0" w:type="dxa"/>
        </w:tblCellMar>
      </w:tblPr>
      <w:tblGrid>
        <w:gridCol w:w="1918"/>
        <w:gridCol w:w="3994"/>
        <w:gridCol w:w="1663"/>
        <w:gridCol w:w="1665"/>
      </w:tblGrid>
      <w:tr>
        <w:tblPrEx>
          <w:tblCellMar>
            <w:top w:w="0" w:type="dxa"/>
            <w:left w:w="0" w:type="dxa"/>
            <w:bottom w:w="0" w:type="dxa"/>
            <w:right w:w="0" w:type="dxa"/>
          </w:tblCellMar>
        </w:tblPrEx>
        <w:trPr>
          <w:trHeight w:val="560" w:hRule="exact"/>
        </w:trPr>
        <w:tc>
          <w:tcPr>
            <w:tcW w:w="191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设施分类</w:t>
            </w: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工程内容或类型</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单位</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数量</w:t>
            </w:r>
          </w:p>
        </w:tc>
      </w:tr>
      <w:tr>
        <w:tblPrEx>
          <w:tblCellMar>
            <w:top w:w="0" w:type="dxa"/>
            <w:left w:w="0" w:type="dxa"/>
            <w:bottom w:w="0" w:type="dxa"/>
            <w:right w:w="0" w:type="dxa"/>
          </w:tblCellMar>
        </w:tblPrEx>
        <w:trPr>
          <w:trHeight w:val="560" w:hRule="exact"/>
        </w:trPr>
        <w:tc>
          <w:tcPr>
            <w:tcW w:w="1918" w:type="dxa"/>
            <w:vMerge w:val="restart"/>
            <w:tcBorders>
              <w:top w:val="single" w:color="000000" w:sz="2" w:space="0"/>
              <w:left w:val="single" w:color="000000" w:sz="2" w:space="0"/>
              <w:right w:val="single" w:color="000000" w:sz="2" w:space="0"/>
            </w:tcBorders>
            <w:vAlign w:val="center"/>
          </w:tcPr>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分散式处理设施</w:t>
            </w: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三格式化粪池升级</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套</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19323</w:t>
            </w:r>
          </w:p>
        </w:tc>
      </w:tr>
      <w:tr>
        <w:tblPrEx>
          <w:tblCellMar>
            <w:top w:w="0" w:type="dxa"/>
            <w:left w:w="0" w:type="dxa"/>
            <w:bottom w:w="0" w:type="dxa"/>
            <w:right w:w="0" w:type="dxa"/>
          </w:tblCellMar>
        </w:tblPrEx>
        <w:trPr>
          <w:trHeight w:val="560" w:hRule="exact"/>
        </w:trPr>
        <w:tc>
          <w:tcPr>
            <w:tcW w:w="1918" w:type="dxa"/>
            <w:vMerge w:val="continue"/>
            <w:tcBorders>
              <w:left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四格池</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套</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149237</w:t>
            </w:r>
          </w:p>
        </w:tc>
      </w:tr>
      <w:tr>
        <w:tblPrEx>
          <w:tblCellMar>
            <w:top w:w="0" w:type="dxa"/>
            <w:left w:w="0" w:type="dxa"/>
            <w:bottom w:w="0" w:type="dxa"/>
            <w:right w:w="0" w:type="dxa"/>
          </w:tblCellMar>
        </w:tblPrEx>
        <w:trPr>
          <w:trHeight w:val="560" w:hRule="exact"/>
        </w:trPr>
        <w:tc>
          <w:tcPr>
            <w:tcW w:w="1918" w:type="dxa"/>
            <w:vMerge w:val="continue"/>
            <w:tcBorders>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隔油池</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套</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169</w:t>
            </w:r>
          </w:p>
        </w:tc>
      </w:tr>
      <w:tr>
        <w:tblPrEx>
          <w:tblCellMar>
            <w:top w:w="0" w:type="dxa"/>
            <w:left w:w="0" w:type="dxa"/>
            <w:bottom w:w="0" w:type="dxa"/>
            <w:right w:w="0" w:type="dxa"/>
          </w:tblCellMar>
        </w:tblPrEx>
        <w:trPr>
          <w:trHeight w:val="560" w:hRule="exact"/>
        </w:trPr>
        <w:tc>
          <w:tcPr>
            <w:tcW w:w="1918" w:type="dxa"/>
            <w:vMerge w:val="restart"/>
            <w:tcBorders>
              <w:top w:val="single" w:color="000000" w:sz="2" w:space="0"/>
              <w:left w:val="single" w:color="000000" w:sz="2" w:space="0"/>
              <w:right w:val="single" w:color="000000" w:sz="2" w:space="0"/>
            </w:tcBorders>
            <w:vAlign w:val="center"/>
          </w:tcPr>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集中式处理设施</w:t>
            </w: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A2/O 一体化处理装置</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个</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79</w:t>
            </w:r>
          </w:p>
        </w:tc>
      </w:tr>
      <w:tr>
        <w:tblPrEx>
          <w:tblCellMar>
            <w:top w:w="0" w:type="dxa"/>
            <w:left w:w="0" w:type="dxa"/>
            <w:bottom w:w="0" w:type="dxa"/>
            <w:right w:w="0" w:type="dxa"/>
          </w:tblCellMar>
        </w:tblPrEx>
        <w:trPr>
          <w:trHeight w:val="560" w:hRule="exact"/>
        </w:trPr>
        <w:tc>
          <w:tcPr>
            <w:tcW w:w="1918" w:type="dxa"/>
            <w:vMerge w:val="continue"/>
            <w:tcBorders>
              <w:left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微动力+人工湿地</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个</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181</w:t>
            </w:r>
          </w:p>
        </w:tc>
      </w:tr>
      <w:tr>
        <w:tblPrEx>
          <w:tblCellMar>
            <w:top w:w="0" w:type="dxa"/>
            <w:left w:w="0" w:type="dxa"/>
            <w:bottom w:w="0" w:type="dxa"/>
            <w:right w:w="0" w:type="dxa"/>
          </w:tblCellMar>
        </w:tblPrEx>
        <w:trPr>
          <w:trHeight w:val="560" w:hRule="exact"/>
        </w:trPr>
        <w:tc>
          <w:tcPr>
            <w:tcW w:w="1918" w:type="dxa"/>
            <w:vMerge w:val="continue"/>
            <w:tcBorders>
              <w:left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微动力+稳定塘</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个</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10</w:t>
            </w:r>
          </w:p>
        </w:tc>
      </w:tr>
      <w:tr>
        <w:tblPrEx>
          <w:tblCellMar>
            <w:top w:w="0" w:type="dxa"/>
            <w:left w:w="0" w:type="dxa"/>
            <w:bottom w:w="0" w:type="dxa"/>
            <w:right w:w="0" w:type="dxa"/>
          </w:tblCellMar>
        </w:tblPrEx>
        <w:trPr>
          <w:trHeight w:val="560" w:hRule="exact"/>
        </w:trPr>
        <w:tc>
          <w:tcPr>
            <w:tcW w:w="1918" w:type="dxa"/>
            <w:vMerge w:val="continue"/>
            <w:tcBorders>
              <w:left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厌氧+人工湿地</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个</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147</w:t>
            </w:r>
          </w:p>
        </w:tc>
      </w:tr>
      <w:tr>
        <w:tblPrEx>
          <w:tblCellMar>
            <w:top w:w="0" w:type="dxa"/>
            <w:left w:w="0" w:type="dxa"/>
            <w:bottom w:w="0" w:type="dxa"/>
            <w:right w:w="0" w:type="dxa"/>
          </w:tblCellMar>
        </w:tblPrEx>
        <w:trPr>
          <w:trHeight w:val="560" w:hRule="exact"/>
        </w:trPr>
        <w:tc>
          <w:tcPr>
            <w:tcW w:w="1918" w:type="dxa"/>
            <w:vMerge w:val="continue"/>
            <w:tcBorders>
              <w:left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厌氧+稳定塘</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个</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6</w:t>
            </w:r>
          </w:p>
        </w:tc>
      </w:tr>
      <w:tr>
        <w:tblPrEx>
          <w:tblCellMar>
            <w:top w:w="0" w:type="dxa"/>
            <w:left w:w="0" w:type="dxa"/>
            <w:bottom w:w="0" w:type="dxa"/>
            <w:right w:w="0" w:type="dxa"/>
          </w:tblCellMar>
        </w:tblPrEx>
        <w:trPr>
          <w:trHeight w:val="560" w:hRule="exact"/>
        </w:trPr>
        <w:tc>
          <w:tcPr>
            <w:tcW w:w="1918" w:type="dxa"/>
            <w:vMerge w:val="continue"/>
            <w:tcBorders>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管网建设</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m</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407933</w:t>
            </w:r>
          </w:p>
        </w:tc>
      </w:tr>
      <w:tr>
        <w:tblPrEx>
          <w:tblCellMar>
            <w:top w:w="0" w:type="dxa"/>
            <w:left w:w="0" w:type="dxa"/>
            <w:bottom w:w="0" w:type="dxa"/>
            <w:right w:w="0" w:type="dxa"/>
          </w:tblCellMar>
        </w:tblPrEx>
        <w:trPr>
          <w:trHeight w:val="579" w:hRule="exact"/>
        </w:trPr>
        <w:tc>
          <w:tcPr>
            <w:tcW w:w="191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纳管</w:t>
            </w:r>
          </w:p>
        </w:tc>
        <w:tc>
          <w:tcPr>
            <w:tcW w:w="39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纳管村庄（城镇污水处理设施）</w:t>
            </w:r>
          </w:p>
        </w:tc>
        <w:tc>
          <w:tcPr>
            <w:tcW w:w="166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个</w:t>
            </w:r>
          </w:p>
        </w:tc>
        <w:tc>
          <w:tcPr>
            <w:tcW w:w="166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79</w:t>
            </w:r>
          </w:p>
        </w:tc>
      </w:tr>
    </w:tbl>
    <w:p>
      <w:pPr>
        <w:spacing w:line="360" w:lineRule="auto"/>
        <w:rPr>
          <w:rFonts w:ascii="黑体" w:hAnsi="黑体" w:eastAsia="黑体" w:cs="黑体"/>
          <w:b/>
          <w:bCs/>
          <w:sz w:val="30"/>
          <w:szCs w:val="30"/>
        </w:rPr>
      </w:pPr>
    </w:p>
    <w:p>
      <w:pPr>
        <w:spacing w:line="360" w:lineRule="auto"/>
      </w:pPr>
      <w:r>
        <w:rPr>
          <w:rFonts w:hint="eastAsia" w:ascii="黑体" w:hAnsi="黑体" w:eastAsia="黑体" w:cs="黑体"/>
          <w:b/>
          <w:bCs/>
          <w:sz w:val="30"/>
          <w:szCs w:val="30"/>
        </w:rPr>
        <w:t>6.2  工程建设投资估算</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本项目直接工程费用为114199.67万元（其中近期67905.15万元，中期19257.14万元，远期</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27037.38万元），工程其他费用为22839.93万元，工程总投资137039.60万元。</w:t>
      </w:r>
    </w:p>
    <w:p>
      <w:pPr>
        <w:spacing w:line="360" w:lineRule="auto"/>
        <w:jc w:val="left"/>
        <w:rPr>
          <w:rFonts w:asciiTheme="majorEastAsia" w:hAnsiTheme="majorEastAsia" w:eastAsiaTheme="majorEastAsia" w:cstheme="majorEastAsia"/>
          <w:sz w:val="22"/>
          <w:szCs w:val="22"/>
        </w:rPr>
      </w:pPr>
    </w:p>
    <w:p>
      <w:pPr>
        <w:spacing w:line="360" w:lineRule="auto"/>
        <w:jc w:val="left"/>
        <w:rPr>
          <w:rFonts w:asciiTheme="majorEastAsia" w:hAnsiTheme="majorEastAsia" w:eastAsiaTheme="majorEastAsia" w:cstheme="majorEastAsia"/>
          <w:sz w:val="22"/>
          <w:szCs w:val="22"/>
        </w:rPr>
      </w:pPr>
    </w:p>
    <w:p>
      <w:pPr>
        <w:spacing w:line="360" w:lineRule="auto"/>
        <w:rPr>
          <w:rFonts w:ascii="黑体" w:hAnsi="黑体" w:eastAsia="黑体" w:cs="黑体"/>
          <w:b/>
          <w:bCs/>
          <w:sz w:val="30"/>
          <w:szCs w:val="30"/>
        </w:rPr>
      </w:pPr>
      <w:r>
        <w:rPr>
          <w:rFonts w:hint="eastAsia" w:ascii="黑体" w:hAnsi="黑体" w:eastAsia="黑体" w:cs="黑体"/>
          <w:b/>
          <w:bCs/>
          <w:sz w:val="30"/>
          <w:szCs w:val="30"/>
        </w:rPr>
        <w:t>6.3  运维资金估算</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综合运维费用包括巡查人员工工资、设备电费、药剂费、设备保养维修费用、管网养护费用等， 人工湿地在维护时，需安排工作人员进行病虫防治，枯枝秸秆需进行处置，稳定塘及水处理构筑物 需定期清理污泥。本次运维资金估算稳定塘、水池清淤按每年清理一次，每座清理一次1000元计。 其余费用计入生活污水的吨水处理费中。其中现有集中式污水处理设施每年的运维费用为24.56万 元，新建集中式污水处理设施每年的运维费用为188.96万元。估算的生活污水处理设施年运行费用如下表：</w:t>
      </w:r>
    </w:p>
    <w:p>
      <w:pPr>
        <w:spacing w:line="360" w:lineRule="auto"/>
        <w:jc w:val="center"/>
        <w:rPr>
          <w:rFonts w:ascii="黑体" w:hAnsi="黑体" w:eastAsia="黑体" w:cs="黑体"/>
          <w:b/>
          <w:bCs/>
          <w:sz w:val="22"/>
          <w:szCs w:val="22"/>
        </w:rPr>
      </w:pPr>
      <w:r>
        <w:rPr>
          <w:rFonts w:hint="eastAsia" w:ascii="黑体" w:hAnsi="黑体" w:eastAsia="黑体" w:cs="黑体"/>
          <w:b/>
          <w:bCs/>
          <w:sz w:val="22"/>
          <w:szCs w:val="22"/>
        </w:rPr>
        <w:t>表 6-2 现有污水处理设施运维费用分析统计表</w:t>
      </w:r>
    </w:p>
    <w:tbl>
      <w:tblPr>
        <w:tblStyle w:val="5"/>
        <w:tblW w:w="9400" w:type="dxa"/>
        <w:tblInd w:w="95" w:type="dxa"/>
        <w:tblLayout w:type="fixed"/>
        <w:tblCellMar>
          <w:top w:w="0" w:type="dxa"/>
          <w:left w:w="0" w:type="dxa"/>
          <w:bottom w:w="0" w:type="dxa"/>
          <w:right w:w="0" w:type="dxa"/>
        </w:tblCellMar>
      </w:tblPr>
      <w:tblGrid>
        <w:gridCol w:w="497"/>
        <w:gridCol w:w="1823"/>
        <w:gridCol w:w="900"/>
        <w:gridCol w:w="659"/>
        <w:gridCol w:w="866"/>
        <w:gridCol w:w="1125"/>
        <w:gridCol w:w="1116"/>
        <w:gridCol w:w="1100"/>
        <w:gridCol w:w="1314"/>
      </w:tblGrid>
      <w:tr>
        <w:tblPrEx>
          <w:tblCellMar>
            <w:top w:w="0" w:type="dxa"/>
            <w:left w:w="0" w:type="dxa"/>
            <w:bottom w:w="0" w:type="dxa"/>
            <w:right w:w="0" w:type="dxa"/>
          </w:tblCellMar>
        </w:tblPrEx>
        <w:trPr>
          <w:trHeight w:val="961"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推荐工艺</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设计规模</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（m</w:t>
            </w:r>
            <w:r>
              <w:rPr>
                <w:rFonts w:hint="eastAsia" w:asciiTheme="majorEastAsia" w:hAnsiTheme="majorEastAsia" w:eastAsiaTheme="majorEastAsia" w:cstheme="majorEastAsia"/>
                <w:b/>
                <w:bCs/>
                <w:vertAlign w:val="superscript"/>
              </w:rPr>
              <w:t>3</w:t>
            </w:r>
            <w:r>
              <w:rPr>
                <w:rFonts w:hint="eastAsia" w:asciiTheme="majorEastAsia" w:hAnsiTheme="majorEastAsia" w:eastAsiaTheme="majorEastAsia" w:cstheme="majorEastAsia"/>
                <w:b/>
                <w:bCs/>
              </w:rPr>
              <w:t>/d）</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数量</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（个）</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污水处理</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单价</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（元/吨）</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污水处理</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合价</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（万元/年）</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水池清理费</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单价</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（万元/年）</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水池清理费</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（万元/年）</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综合运维费用</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（万元/年）</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A/O+人工湿地</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200</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5.84</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5.94</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A/O+人工湿地</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100</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5.84</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0.20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6.04</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A/O+人工湿地</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70</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2.04</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2.14</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4</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A/O+人工湿地</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30</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0.88</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0.98</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5</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A/O+人工湿地</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20</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1.17</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0.20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1.37</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6</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A/O+人工湿地</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10</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0.58</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0.20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0.78</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7</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A+人工湿地</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200</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5.84</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5.94</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8</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微动力+人工湿地</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50</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0.4</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0.73</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0.83</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9</w:t>
            </w: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微动力+人工湿地</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30</w:t>
            </w: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0.4</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0.44</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0.54</w:t>
            </w:r>
          </w:p>
        </w:tc>
      </w:tr>
      <w:tr>
        <w:tblPrEx>
          <w:tblCellMar>
            <w:top w:w="0" w:type="dxa"/>
            <w:left w:w="0" w:type="dxa"/>
            <w:bottom w:w="0" w:type="dxa"/>
            <w:right w:w="0" w:type="dxa"/>
          </w:tblCellMar>
        </w:tblPrEx>
        <w:trPr>
          <w:trHeight w:val="422" w:hRule="exact"/>
        </w:trPr>
        <w:tc>
          <w:tcPr>
            <w:tcW w:w="497"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182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合计</w:t>
            </w: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6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12</w:t>
            </w:r>
          </w:p>
        </w:tc>
        <w:tc>
          <w:tcPr>
            <w:tcW w:w="86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23.36</w:t>
            </w:r>
          </w:p>
        </w:tc>
        <w:tc>
          <w:tcPr>
            <w:tcW w:w="111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p>
        </w:tc>
        <w:tc>
          <w:tcPr>
            <w:tcW w:w="1100"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1.20</w:t>
            </w:r>
          </w:p>
        </w:tc>
        <w:tc>
          <w:tcPr>
            <w:tcW w:w="131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24.56</w:t>
            </w:r>
          </w:p>
        </w:tc>
      </w:tr>
    </w:tbl>
    <w:p>
      <w:pPr>
        <w:spacing w:line="360" w:lineRule="auto"/>
        <w:jc w:val="center"/>
        <w:rPr>
          <w:rFonts w:ascii="黑体" w:hAnsi="黑体" w:eastAsia="黑体" w:cs="黑体"/>
          <w:b/>
          <w:bCs/>
          <w:sz w:val="22"/>
          <w:szCs w:val="22"/>
        </w:rPr>
      </w:pPr>
    </w:p>
    <w:p>
      <w:pPr>
        <w:spacing w:line="329" w:lineRule="exact"/>
        <w:ind w:left="2760" w:right="-20"/>
        <w:jc w:val="left"/>
        <w:rPr>
          <w:rFonts w:ascii="黑体" w:hAnsi="黑体" w:eastAsia="黑体" w:cs="黑体"/>
          <w:b/>
          <w:bCs/>
          <w:sz w:val="22"/>
          <w:szCs w:val="22"/>
        </w:rPr>
      </w:pPr>
      <w:r>
        <w:rPr>
          <w:rFonts w:hint="eastAsia" w:ascii="黑体" w:hAnsi="黑体" w:eastAsia="黑体" w:cs="黑体"/>
          <w:b/>
          <w:bCs/>
          <w:sz w:val="22"/>
          <w:szCs w:val="22"/>
        </w:rPr>
        <w:t>表 6- 3 新建污水处理设施运维费用分析统计表</w:t>
      </w:r>
    </w:p>
    <w:p>
      <w:pPr>
        <w:spacing w:line="329" w:lineRule="exact"/>
        <w:ind w:left="2760" w:right="-20"/>
        <w:jc w:val="left"/>
        <w:rPr>
          <w:rFonts w:ascii="黑体" w:hAnsi="黑体" w:eastAsia="黑体" w:cs="黑体"/>
          <w:b/>
          <w:bCs/>
          <w:sz w:val="22"/>
          <w:szCs w:val="22"/>
        </w:rPr>
      </w:pPr>
    </w:p>
    <w:tbl>
      <w:tblPr>
        <w:tblStyle w:val="5"/>
        <w:tblW w:w="9420" w:type="dxa"/>
        <w:tblInd w:w="95" w:type="dxa"/>
        <w:tblLayout w:type="fixed"/>
        <w:tblCellMar>
          <w:top w:w="0" w:type="dxa"/>
          <w:left w:w="0" w:type="dxa"/>
          <w:bottom w:w="0" w:type="dxa"/>
          <w:right w:w="0" w:type="dxa"/>
        </w:tblCellMar>
      </w:tblPr>
      <w:tblGrid>
        <w:gridCol w:w="505"/>
        <w:gridCol w:w="1915"/>
        <w:gridCol w:w="898"/>
        <w:gridCol w:w="581"/>
        <w:gridCol w:w="873"/>
        <w:gridCol w:w="1041"/>
        <w:gridCol w:w="1194"/>
        <w:gridCol w:w="1102"/>
        <w:gridCol w:w="1311"/>
      </w:tblGrid>
      <w:tr>
        <w:tblPrEx>
          <w:tblCellMar>
            <w:top w:w="0" w:type="dxa"/>
            <w:left w:w="0" w:type="dxa"/>
            <w:bottom w:w="0" w:type="dxa"/>
            <w:right w:w="0" w:type="dxa"/>
          </w:tblCellMar>
        </w:tblPrEx>
        <w:trPr>
          <w:trHeight w:val="925" w:hRule="exact"/>
        </w:trPr>
        <w:tc>
          <w:tcPr>
            <w:tcW w:w="50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91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推荐工艺</w:t>
            </w:r>
          </w:p>
        </w:tc>
        <w:tc>
          <w:tcPr>
            <w:tcW w:w="8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设计规模</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（m3/d）</w:t>
            </w:r>
          </w:p>
        </w:tc>
        <w:tc>
          <w:tcPr>
            <w:tcW w:w="58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数量</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（个）</w:t>
            </w:r>
          </w:p>
        </w:tc>
        <w:tc>
          <w:tcPr>
            <w:tcW w:w="87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污水处理</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单价</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（元/吨）</w:t>
            </w:r>
          </w:p>
        </w:tc>
        <w:tc>
          <w:tcPr>
            <w:tcW w:w="104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污水处理</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合价</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（万元/年</w:t>
            </w:r>
          </w:p>
        </w:tc>
        <w:tc>
          <w:tcPr>
            <w:tcW w:w="11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水池清理费</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单价</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（万元/年）</w:t>
            </w:r>
          </w:p>
        </w:tc>
        <w:tc>
          <w:tcPr>
            <w:tcW w:w="110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水池清理费</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（万元/年）</w:t>
            </w:r>
          </w:p>
        </w:tc>
        <w:tc>
          <w:tcPr>
            <w:tcW w:w="131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综合运维费用</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（万元/年）</w:t>
            </w:r>
          </w:p>
        </w:tc>
      </w:tr>
      <w:tr>
        <w:tblPrEx>
          <w:tblCellMar>
            <w:top w:w="0" w:type="dxa"/>
            <w:left w:w="0" w:type="dxa"/>
            <w:bottom w:w="0" w:type="dxa"/>
            <w:right w:w="0" w:type="dxa"/>
          </w:tblCellMar>
        </w:tblPrEx>
        <w:trPr>
          <w:trHeight w:val="407" w:hRule="exact"/>
        </w:trPr>
        <w:tc>
          <w:tcPr>
            <w:tcW w:w="50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91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150</w:t>
            </w:r>
          </w:p>
        </w:tc>
        <w:tc>
          <w:tcPr>
            <w:tcW w:w="58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87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04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8.76</w:t>
            </w:r>
          </w:p>
        </w:tc>
        <w:tc>
          <w:tcPr>
            <w:tcW w:w="11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0.20</w:t>
            </w:r>
          </w:p>
        </w:tc>
        <w:tc>
          <w:tcPr>
            <w:tcW w:w="131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8.96</w:t>
            </w:r>
          </w:p>
        </w:tc>
      </w:tr>
      <w:tr>
        <w:tblPrEx>
          <w:tblCellMar>
            <w:top w:w="0" w:type="dxa"/>
            <w:left w:w="0" w:type="dxa"/>
            <w:bottom w:w="0" w:type="dxa"/>
            <w:right w:w="0" w:type="dxa"/>
          </w:tblCellMar>
        </w:tblPrEx>
        <w:trPr>
          <w:trHeight w:val="407" w:hRule="exact"/>
        </w:trPr>
        <w:tc>
          <w:tcPr>
            <w:tcW w:w="50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191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100</w:t>
            </w:r>
          </w:p>
        </w:tc>
        <w:tc>
          <w:tcPr>
            <w:tcW w:w="58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87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04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5.84</w:t>
            </w:r>
          </w:p>
        </w:tc>
        <w:tc>
          <w:tcPr>
            <w:tcW w:w="11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0.20</w:t>
            </w:r>
          </w:p>
        </w:tc>
        <w:tc>
          <w:tcPr>
            <w:tcW w:w="131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6.04</w:t>
            </w:r>
          </w:p>
        </w:tc>
      </w:tr>
      <w:tr>
        <w:tblPrEx>
          <w:tblCellMar>
            <w:top w:w="0" w:type="dxa"/>
            <w:left w:w="0" w:type="dxa"/>
            <w:bottom w:w="0" w:type="dxa"/>
            <w:right w:w="0" w:type="dxa"/>
          </w:tblCellMar>
        </w:tblPrEx>
        <w:trPr>
          <w:trHeight w:val="407" w:hRule="exact"/>
        </w:trPr>
        <w:tc>
          <w:tcPr>
            <w:tcW w:w="50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191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80</w:t>
            </w:r>
          </w:p>
        </w:tc>
        <w:tc>
          <w:tcPr>
            <w:tcW w:w="58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87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04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2.34</w:t>
            </w:r>
          </w:p>
        </w:tc>
        <w:tc>
          <w:tcPr>
            <w:tcW w:w="11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31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2.44</w:t>
            </w:r>
          </w:p>
        </w:tc>
      </w:tr>
      <w:tr>
        <w:tblPrEx>
          <w:tblCellMar>
            <w:top w:w="0" w:type="dxa"/>
            <w:left w:w="0" w:type="dxa"/>
            <w:bottom w:w="0" w:type="dxa"/>
            <w:right w:w="0" w:type="dxa"/>
          </w:tblCellMar>
        </w:tblPrEx>
        <w:trPr>
          <w:trHeight w:val="409" w:hRule="exact"/>
        </w:trPr>
        <w:tc>
          <w:tcPr>
            <w:tcW w:w="50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4</w:t>
            </w:r>
          </w:p>
        </w:tc>
        <w:tc>
          <w:tcPr>
            <w:tcW w:w="191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70</w:t>
            </w:r>
          </w:p>
        </w:tc>
        <w:tc>
          <w:tcPr>
            <w:tcW w:w="58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87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0.8</w:t>
            </w:r>
          </w:p>
        </w:tc>
        <w:tc>
          <w:tcPr>
            <w:tcW w:w="104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6.13</w:t>
            </w:r>
          </w:p>
        </w:tc>
        <w:tc>
          <w:tcPr>
            <w:tcW w:w="119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0.10</w:t>
            </w:r>
          </w:p>
        </w:tc>
        <w:tc>
          <w:tcPr>
            <w:tcW w:w="110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0.30</w:t>
            </w:r>
          </w:p>
        </w:tc>
        <w:tc>
          <w:tcPr>
            <w:tcW w:w="131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6.43</w:t>
            </w:r>
          </w:p>
        </w:tc>
      </w:tr>
    </w:tbl>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tbl>
      <w:tblPr>
        <w:tblStyle w:val="5"/>
        <w:tblW w:w="9440" w:type="dxa"/>
        <w:tblInd w:w="0" w:type="dxa"/>
        <w:tblLayout w:type="fixed"/>
        <w:tblCellMar>
          <w:top w:w="0" w:type="dxa"/>
          <w:left w:w="0" w:type="dxa"/>
          <w:bottom w:w="0" w:type="dxa"/>
          <w:right w:w="0" w:type="dxa"/>
        </w:tblCellMar>
      </w:tblPr>
      <w:tblGrid>
        <w:gridCol w:w="506"/>
        <w:gridCol w:w="1944"/>
        <w:gridCol w:w="874"/>
        <w:gridCol w:w="583"/>
        <w:gridCol w:w="875"/>
        <w:gridCol w:w="1043"/>
        <w:gridCol w:w="1198"/>
        <w:gridCol w:w="1104"/>
        <w:gridCol w:w="1313"/>
      </w:tblGrid>
      <w:tr>
        <w:tblPrEx>
          <w:tblCellMar>
            <w:top w:w="0" w:type="dxa"/>
            <w:left w:w="0" w:type="dxa"/>
            <w:bottom w:w="0" w:type="dxa"/>
            <w:right w:w="0" w:type="dxa"/>
          </w:tblCellMar>
        </w:tblPrEx>
        <w:trPr>
          <w:trHeight w:val="1005"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推荐工艺</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设计规模</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（m</w:t>
            </w:r>
            <w:r>
              <w:rPr>
                <w:rFonts w:hint="eastAsia" w:asciiTheme="majorEastAsia" w:hAnsiTheme="majorEastAsia" w:eastAsiaTheme="majorEastAsia" w:cstheme="majorEastAsia"/>
                <w:b/>
                <w:bCs/>
                <w:szCs w:val="21"/>
                <w:vertAlign w:val="superscript"/>
              </w:rPr>
              <w:t>3</w:t>
            </w:r>
            <w:r>
              <w:rPr>
                <w:rFonts w:hint="eastAsia" w:asciiTheme="majorEastAsia" w:hAnsiTheme="majorEastAsia" w:eastAsiaTheme="majorEastAsia" w:cstheme="majorEastAsia"/>
                <w:b/>
                <w:bCs/>
                <w:szCs w:val="21"/>
              </w:rPr>
              <w:t>/d）</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数量</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（个）</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污水处理</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单价</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（元/吨）</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污水处理</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合价</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（万元/年）</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水池清理费</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单价</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 xml:space="preserve"> （万元/年）</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水池清理费</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（万元/年）</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综合运维费用</w:t>
            </w:r>
          </w:p>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（万元/年）</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5.26</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0.30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5.56</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14.60</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15.60</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12.85</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13.95</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10.51</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11.71</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34</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19.86</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3.40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23.26</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A²/O一体化处理装置</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0.29</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0.39</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1.17</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1.27</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2.04</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0.20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2.24</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2.63</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0.30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2.93</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5.84</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6.64</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1.17</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0.20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1.37</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4.82</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5.92</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8.47</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11.37</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72</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10.51</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7.20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17.71</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53</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3.87</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5.30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9.17</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微动力+稳定塘</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0.29</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0.39</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微动力+稳定塘</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0.88</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0.60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1.48</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微动力+稳定塘</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0.15</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0.20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0.35</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厌氧+人工湿地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0.88</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0.20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1.08</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厌氧+人工湿地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0.88</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0.30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1.18</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厌氧+人工湿地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10.22</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17.22</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厌氧+人工湿地</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73</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5.33</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7.30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12.63</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厌氧+稳定塘</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0.07</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0.17</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厌氧+稳定塘</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0.44</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0.30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0.74</w:t>
            </w:r>
          </w:p>
        </w:tc>
      </w:tr>
      <w:tr>
        <w:tblPrEx>
          <w:tblCellMar>
            <w:top w:w="0" w:type="dxa"/>
            <w:left w:w="0" w:type="dxa"/>
            <w:bottom w:w="0" w:type="dxa"/>
            <w:right w:w="0" w:type="dxa"/>
          </w:tblCellMar>
        </w:tblPrEx>
        <w:trPr>
          <w:trHeight w:val="440"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w:t>
            </w: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厌氧+稳定塘</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0.4</w:t>
            </w: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0.58</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0.10</w:t>
            </w: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0.20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0.78</w:t>
            </w:r>
          </w:p>
        </w:tc>
      </w:tr>
      <w:tr>
        <w:tblPrEx>
          <w:tblCellMar>
            <w:top w:w="0" w:type="dxa"/>
            <w:left w:w="0" w:type="dxa"/>
            <w:bottom w:w="0" w:type="dxa"/>
            <w:right w:w="0" w:type="dxa"/>
          </w:tblCellMar>
        </w:tblPrEx>
        <w:trPr>
          <w:trHeight w:val="451" w:hRule="exact"/>
        </w:trPr>
        <w:tc>
          <w:tcPr>
            <w:tcW w:w="506"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p>
        </w:tc>
        <w:tc>
          <w:tcPr>
            <w:tcW w:w="194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87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p>
        </w:tc>
        <w:tc>
          <w:tcPr>
            <w:tcW w:w="58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423</w:t>
            </w:r>
          </w:p>
        </w:tc>
        <w:tc>
          <w:tcPr>
            <w:tcW w:w="875"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p>
        </w:tc>
        <w:tc>
          <w:tcPr>
            <w:tcW w:w="104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146.66</w:t>
            </w:r>
          </w:p>
        </w:tc>
        <w:tc>
          <w:tcPr>
            <w:tcW w:w="119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p>
        </w:tc>
        <w:tc>
          <w:tcPr>
            <w:tcW w:w="1104"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42.30</w:t>
            </w:r>
          </w:p>
        </w:tc>
        <w:tc>
          <w:tcPr>
            <w:tcW w:w="131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188.96</w:t>
            </w:r>
          </w:p>
        </w:tc>
      </w:tr>
    </w:tbl>
    <w:p>
      <w:pPr>
        <w:spacing w:line="360" w:lineRule="auto"/>
        <w:jc w:val="center"/>
        <w:rPr>
          <w:rFonts w:ascii="黑体" w:hAnsi="黑体" w:eastAsia="黑体" w:cs="黑体"/>
          <w:b/>
          <w:bCs/>
          <w:sz w:val="22"/>
          <w:szCs w:val="22"/>
        </w:rPr>
      </w:pPr>
    </w:p>
    <w:p>
      <w:pPr>
        <w:spacing w:line="360" w:lineRule="auto"/>
        <w:rPr>
          <w:rFonts w:ascii="黑体" w:hAnsi="黑体" w:eastAsia="黑体" w:cs="黑体"/>
          <w:b/>
          <w:bCs/>
          <w:sz w:val="30"/>
          <w:szCs w:val="30"/>
        </w:rPr>
      </w:pPr>
      <w:r>
        <w:rPr>
          <w:rFonts w:hint="eastAsia" w:ascii="黑体" w:hAnsi="黑体" w:eastAsia="黑体" w:cs="黑体"/>
          <w:b/>
          <w:bCs/>
          <w:sz w:val="30"/>
          <w:szCs w:val="30"/>
        </w:rPr>
        <w:t>6.4  资金筹措</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农村生活污水治理设施建设和运营属于特殊专业领域，政府财政无法全部承担，也无法实现长效运行。必须按照“政府扶持、社会参与、农户自筹”的资金筹措原则，建立健全社会参与和农户自筹相结合的资金筹措机制，积极拓宽融资渠道，采取多元投资、多方参与的方式筹措建设与运维经费。</w:t>
      </w:r>
    </w:p>
    <w:p>
      <w:pPr>
        <w:spacing w:line="360" w:lineRule="auto"/>
        <w:ind w:firstLine="442" w:firstLineChars="200"/>
        <w:jc w:val="lef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（1）增加财政预算资金投入</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各级政府在财政方面加大对农村生活污水治理设施建设方面的投入力度，拓宽财政支持来源。将农村生活污水治理项目优先纳入国民经济社会发展计划，按照建立公共财政的要求，把农村生活污水治理设施建设及运维资金纳入年度财政预算，设立农村污水治理专项资金，且保证逐年有所增长。</w:t>
      </w:r>
    </w:p>
    <w:p>
      <w:pPr>
        <w:spacing w:line="360" w:lineRule="auto"/>
        <w:ind w:firstLine="442" w:firstLineChars="200"/>
        <w:jc w:val="lef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（2）积极争取中央环保专项资金和涉农资金</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充分利用国家环境保护和生态建设方面相关财政专项资金，积极主动地创造条件，配套地方资金，有序地安排农村生活污水治理项目的申报，争取国家专项资金补助；加大涉农资金整合力度， 争取涉农财政资金向农村生活污水治理倾斜。</w:t>
      </w:r>
    </w:p>
    <w:p>
      <w:pPr>
        <w:spacing w:line="360" w:lineRule="auto"/>
        <w:ind w:firstLine="442"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（3）鼓励社会资金投入</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鼓励和引导企业、社会团体、个人等社会力量，通过投资、捐助、认建等形式，参与农村生活污水治理设施建设；鼓励各类社会资金投入环保事业，加强引导和规范管理，采用BOT、TOT、PPP等各种适合地区特点的融资模式；发挥政策性金融机构作用，加大信贷资金支持力度，筹集农村生活污水设施建设经费。</w:t>
      </w:r>
    </w:p>
    <w:p>
      <w:pPr>
        <w:spacing w:line="360" w:lineRule="auto"/>
        <w:ind w:firstLine="442" w:firstLineChars="200"/>
        <w:jc w:val="lef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（4）探索农村生活污水收费制度</w:t>
      </w:r>
    </w:p>
    <w:p>
      <w:pPr>
        <w:spacing w:line="360" w:lineRule="auto"/>
        <w:ind w:firstLine="440" w:firstLineChars="200"/>
        <w:jc w:val="left"/>
        <w:rPr>
          <w:rFonts w:ascii="黑体" w:hAnsi="黑体" w:eastAsia="黑体" w:cs="黑体"/>
          <w:b/>
          <w:bCs/>
          <w:sz w:val="22"/>
          <w:szCs w:val="22"/>
        </w:rPr>
      </w:pPr>
      <w:r>
        <w:rPr>
          <w:rFonts w:hint="eastAsia" w:asciiTheme="majorEastAsia" w:hAnsiTheme="majorEastAsia" w:eastAsiaTheme="majorEastAsia" w:cstheme="majorEastAsia"/>
          <w:sz w:val="22"/>
          <w:szCs w:val="22"/>
        </w:rPr>
        <w:t>对使用自来水的农户将污水处理费用纳入自来水价中；对采用纳管处理模式、集中治理达标排放模式、分散治理达标排放模式的自供水农户按户或用水量支付污水治理费用，逐步实现受益农户 污水治理付费制度。对于不同收入阶层的居民承受能力问题，采用级差和累进收费的办法来解决， 特困家庭由政府对其实行调价补贴，以确保低收入居民的生活稳定</w:t>
      </w:r>
      <w:r>
        <w:rPr>
          <w:rFonts w:hint="eastAsia" w:ascii="黑体" w:hAnsi="黑体" w:eastAsia="黑体" w:cs="黑体"/>
          <w:b/>
          <w:bCs/>
          <w:sz w:val="22"/>
          <w:szCs w:val="22"/>
        </w:rPr>
        <w:t>。</w:t>
      </w:r>
    </w:p>
    <w:p>
      <w:pPr>
        <w:spacing w:line="360" w:lineRule="auto"/>
        <w:jc w:val="left"/>
        <w:rPr>
          <w:rFonts w:ascii="黑体" w:hAnsi="黑体" w:eastAsia="黑体" w:cs="黑体"/>
          <w:b/>
          <w:bCs/>
          <w:sz w:val="22"/>
          <w:szCs w:val="22"/>
        </w:rPr>
      </w:pPr>
    </w:p>
    <w:p>
      <w:pPr>
        <w:spacing w:line="360" w:lineRule="auto"/>
        <w:jc w:val="left"/>
        <w:rPr>
          <w:rFonts w:ascii="黑体" w:hAnsi="黑体" w:eastAsia="黑体" w:cs="黑体"/>
          <w:b/>
          <w:bCs/>
          <w:sz w:val="22"/>
          <w:szCs w:val="22"/>
        </w:rPr>
      </w:pPr>
    </w:p>
    <w:p>
      <w:pPr>
        <w:spacing w:line="360" w:lineRule="auto"/>
        <w:jc w:val="left"/>
        <w:rPr>
          <w:rFonts w:ascii="黑体" w:hAnsi="黑体" w:eastAsia="黑体" w:cs="黑体"/>
          <w:b/>
          <w:bCs/>
          <w:sz w:val="22"/>
          <w:szCs w:val="22"/>
        </w:rPr>
      </w:pPr>
    </w:p>
    <w:p>
      <w:pPr>
        <w:spacing w:line="360" w:lineRule="auto"/>
        <w:jc w:val="left"/>
        <w:rPr>
          <w:rFonts w:ascii="黑体" w:hAnsi="黑体" w:eastAsia="黑体" w:cs="黑体"/>
          <w:b/>
          <w:bCs/>
          <w:sz w:val="22"/>
          <w:szCs w:val="22"/>
        </w:rPr>
      </w:pP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第7章  环境效益分析</w:t>
      </w:r>
    </w:p>
    <w:p>
      <w:pPr>
        <w:spacing w:line="360" w:lineRule="auto"/>
        <w:rPr>
          <w:rFonts w:ascii="黑体" w:hAnsi="黑体" w:eastAsia="黑体" w:cs="黑体"/>
          <w:sz w:val="30"/>
          <w:szCs w:val="30"/>
        </w:rPr>
      </w:pPr>
    </w:p>
    <w:p>
      <w:pPr>
        <w:spacing w:line="360" w:lineRule="auto"/>
        <w:rPr>
          <w:rFonts w:ascii="黑体" w:hAnsi="黑体" w:eastAsia="黑体" w:cs="黑体"/>
          <w:b/>
          <w:bCs/>
          <w:sz w:val="30"/>
          <w:szCs w:val="30"/>
        </w:rPr>
      </w:pPr>
      <w:r>
        <w:rPr>
          <w:rFonts w:hint="eastAsia" w:ascii="黑体" w:hAnsi="黑体" w:eastAsia="黑体" w:cs="黑体"/>
          <w:b/>
          <w:bCs/>
          <w:sz w:val="30"/>
          <w:szCs w:val="30"/>
        </w:rPr>
        <w:t>7.1  环境效益分析</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通过规划的实施，桃源县农村生活污水将得到有效治理，改善生活污水四处漫流现象，项目区 的生态环境质量将得到明显的改善，生态宜居水平提高，饮用水源得到有效保护，并减少对沅江污 染物的排放量。</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项目建成后可大幅减少CODCr、BOD5、SS、NH3-N、TN、TP等污染物的排放。项目的环境效益显著，可大幅改善项目区内的环境污染现象，改善农民的卫生条件和生活环境，具有重要的现实意义。</w:t>
      </w:r>
    </w:p>
    <w:p>
      <w:pPr>
        <w:spacing w:line="360" w:lineRule="auto"/>
        <w:rPr>
          <w:rFonts w:ascii="黑体" w:hAnsi="黑体" w:eastAsia="黑体" w:cs="黑体"/>
          <w:b/>
          <w:bCs/>
          <w:sz w:val="30"/>
          <w:szCs w:val="30"/>
        </w:rPr>
      </w:pPr>
      <w:r>
        <w:rPr>
          <w:rFonts w:hint="eastAsia" w:ascii="黑体" w:hAnsi="黑体" w:eastAsia="黑体" w:cs="黑体"/>
          <w:b/>
          <w:bCs/>
          <w:sz w:val="30"/>
          <w:szCs w:val="30"/>
        </w:rPr>
        <w:t>7.2  社会效益分析</w:t>
      </w:r>
    </w:p>
    <w:p>
      <w:pPr>
        <w:spacing w:line="360" w:lineRule="auto"/>
        <w:ind w:firstLine="442" w:firstLineChars="200"/>
        <w:jc w:val="lef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（1）提升生态意识，树立科学发展观</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通过加强生态宣传教育，培养村民生态意识，让村民在项目实施中得到实惠，促使村民逐步形</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成更加符合生态理念的价值观念、思维模式、行为准则，树立起全面、协调、可持续的发展观。</w:t>
      </w:r>
    </w:p>
    <w:p>
      <w:pPr>
        <w:spacing w:line="360" w:lineRule="auto"/>
        <w:ind w:firstLine="442" w:firstLineChars="200"/>
        <w:jc w:val="lef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（2）提高村民生活质量，保障村民健康生活</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通过规划的实施，将完善项目区基础设施建设、改善村容村貌的，显著提高项目区群众的生活水平和质量，打造山更绿、水更清、天更蓝的优美乡村，为村民缔造一个桃园环境，保障村民的生 产生活井然有序、健康安心。</w:t>
      </w:r>
    </w:p>
    <w:p>
      <w:pPr>
        <w:spacing w:line="360" w:lineRule="auto"/>
        <w:ind w:firstLine="442" w:firstLineChars="200"/>
        <w:jc w:val="lef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（3）发挥示范效应，促进区域社会经济发展</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规划的实施，将有效改善项目区农村的水质、生态及人居环境，并有效辐射周边乡镇，势必对当地影响产生积极影响，促进区域社会经济发展。</w:t>
      </w:r>
    </w:p>
    <w:p>
      <w:pPr>
        <w:spacing w:line="360" w:lineRule="auto"/>
        <w:ind w:firstLine="442" w:firstLineChars="200"/>
        <w:jc w:val="lef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（4）强化生态行为，形成公众参与机制</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通过规划的实施，教育和引导村民按照可持续发展的要求，约束自己的生产、生活方式，将使</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村民逐步改变不适合环保要求的生活和生产方式，积极推行生态行为。通过制定公众参与的保障措 施、鼓励政策，让村民了解自己的环保权力，使村民逐步形成对农村生态保护与可持续利用的监督、 生产、资源开发与维护等各个环节的普遍关注与积极参与，提高村民在自然资源开发、农业开发项 目决策方面的参与主动性。</w:t>
      </w:r>
    </w:p>
    <w:p>
      <w:pPr>
        <w:spacing w:line="360" w:lineRule="auto"/>
        <w:ind w:firstLine="440" w:firstLineChars="200"/>
        <w:jc w:val="left"/>
        <w:rPr>
          <w:rFonts w:asciiTheme="majorEastAsia" w:hAnsiTheme="majorEastAsia" w:eastAsiaTheme="majorEastAsia" w:cstheme="majorEastAsia"/>
          <w:sz w:val="22"/>
          <w:szCs w:val="22"/>
        </w:rPr>
      </w:pPr>
    </w:p>
    <w:p>
      <w:pPr>
        <w:spacing w:line="360" w:lineRule="auto"/>
        <w:rPr>
          <w:rFonts w:ascii="黑体" w:hAnsi="黑体" w:eastAsia="黑体" w:cs="黑体"/>
          <w:b/>
          <w:bCs/>
          <w:sz w:val="30"/>
          <w:szCs w:val="30"/>
        </w:rPr>
      </w:pPr>
      <w:r>
        <w:rPr>
          <w:rFonts w:hint="eastAsia" w:ascii="黑体" w:hAnsi="黑体" w:eastAsia="黑体" w:cs="黑体"/>
          <w:b/>
          <w:bCs/>
          <w:sz w:val="30"/>
          <w:szCs w:val="30"/>
        </w:rPr>
        <w:t>7.3  经济效益分析</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农村生活污水治理属于公益性项目，因此效益主要体现在社会效益方面，而经济效益则体现在 潜在经济效益方面。</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桃源县农村生活污水治理规划的实施，能促进区内社会环境的进一步稳定，带动地区的建设和 发展，使城乡面貌迅速改观，也有利于进一步引导区域用地布局，创造良好城乡风貌，积累基础设 施建设资金，加快经济发展速度，推动城乡进程、土地开发、旅游业、服务业及加工业的发展，使 国民经济、城镇建设和社会各项事业得到持续发展。</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同时，规划的实施将对地方水系的保护有着广泛的影响，把社会经济发展与环境保护目标协调 好，将给地方的经济带来巨大的益处，如促进渔业养殖业的生产，减少疾病，从而降低医药费开支， 提高乡村健康卫生水平等。</w:t>
      </w: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黑体" w:hAnsi="黑体" w:eastAsia="黑体" w:cs="黑体"/>
          <w:b/>
          <w:bCs/>
          <w:sz w:val="22"/>
          <w:szCs w:val="22"/>
        </w:rPr>
      </w:pP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第8章</w:t>
      </w:r>
      <w:r>
        <w:rPr>
          <w:rFonts w:hint="eastAsia" w:asciiTheme="majorEastAsia" w:hAnsiTheme="majorEastAsia" w:eastAsiaTheme="majorEastAsia" w:cstheme="majorEastAsia"/>
          <w:b/>
          <w:bCs/>
          <w:sz w:val="44"/>
          <w:szCs w:val="44"/>
        </w:rPr>
        <w:tab/>
      </w:r>
      <w:r>
        <w:rPr>
          <w:rFonts w:hint="eastAsia" w:asciiTheme="majorEastAsia" w:hAnsiTheme="majorEastAsia" w:eastAsiaTheme="majorEastAsia" w:cstheme="majorEastAsia"/>
          <w:b/>
          <w:bCs/>
          <w:sz w:val="44"/>
          <w:szCs w:val="44"/>
        </w:rPr>
        <w:t>保障措施</w:t>
      </w:r>
    </w:p>
    <w:p>
      <w:pPr>
        <w:spacing w:line="360" w:lineRule="auto"/>
        <w:rPr>
          <w:rFonts w:ascii="黑体" w:hAnsi="黑体" w:eastAsia="黑体" w:cs="黑体"/>
          <w:sz w:val="30"/>
          <w:szCs w:val="30"/>
        </w:rPr>
      </w:pPr>
    </w:p>
    <w:p>
      <w:pPr>
        <w:spacing w:line="520" w:lineRule="exact"/>
        <w:rPr>
          <w:rFonts w:ascii="黑体" w:hAnsi="黑体" w:eastAsia="黑体" w:cs="黑体"/>
          <w:b/>
          <w:bCs/>
          <w:sz w:val="30"/>
          <w:szCs w:val="30"/>
        </w:rPr>
      </w:pPr>
      <w:r>
        <w:rPr>
          <w:rFonts w:hint="eastAsia" w:ascii="黑体" w:hAnsi="黑体" w:eastAsia="黑体" w:cs="黑体"/>
          <w:b/>
          <w:bCs/>
          <w:sz w:val="30"/>
          <w:szCs w:val="30"/>
        </w:rPr>
        <w:t>8.1  组织保障</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落实以县级政府为责任主体，乡镇（街道）为管理主体，村组织为落实主体，农户为受益主体</w:t>
      </w:r>
    </w:p>
    <w:p>
      <w:pPr>
        <w:spacing w:line="520" w:lineRule="exact"/>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以及运维机构为服务主体的五位一体的区域农村生活污水治理设施运维管理体系。细化各职能部门 分工，建立目标责任制，健全考核机制。继续深化相关建设与运维管理的政策、文件、办法的落实， 明确权利，落实责任，齐抓共管，确保生活污水处理工作扎实推进。</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从项目的建设、施工、验收等全方位落实管理体系，制定设施运行维护管理办法和考核办法， 对全县设施运行维护管理工作进行指导、监督和考核，并对治理后排放的水质进行监督。加强设计 图纸审查与施工监督力度，将问题消灭在建设过程中，缩短建设到移交运维周期，各部门通力合作， 为设施达标、出水达标提供有力保障。</w:t>
      </w:r>
    </w:p>
    <w:p>
      <w:pPr>
        <w:spacing w:line="520" w:lineRule="exact"/>
        <w:rPr>
          <w:rFonts w:ascii="黑体" w:hAnsi="黑体" w:eastAsia="黑体" w:cs="黑体"/>
          <w:b/>
          <w:bCs/>
          <w:sz w:val="30"/>
          <w:szCs w:val="30"/>
        </w:rPr>
      </w:pPr>
      <w:r>
        <w:rPr>
          <w:rFonts w:hint="eastAsia" w:ascii="黑体" w:hAnsi="黑体" w:eastAsia="黑体" w:cs="黑体"/>
          <w:b/>
          <w:bCs/>
          <w:sz w:val="30"/>
          <w:szCs w:val="30"/>
        </w:rPr>
        <w:t>8.2  资金保障</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农村生活污水专项治理工程量大、投资高，单独依靠任何一个方面都难以完全解决资金缺口的 问题，应积极拓宽融资渠道，采取多元投资、多方参与等方式筹措建设资金。各级财政应加大对乡 镇污水处理设施建设的扶持力度，设立农村污水处理专项资金，建设及运维资金纳入年度财政预算， 并积极申请省、市相关经费补助，同时鼓励引导和支持企业、社会团体、个人等社会力量，通过投 资、捐助、认建等形式，参与农村生活污水治理设施建设与改造。</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项目在资金管理上严格按照国家的规定执行，实行专人管理、专户贮存、专帐核算。严格财经 纪律，加强对项目资金的监管力度，按项目计划和施工进度投放资金，坚持执行资金跟着项目走的 原则，确保资金的专款专用。</w:t>
      </w:r>
    </w:p>
    <w:p>
      <w:pPr>
        <w:spacing w:line="520" w:lineRule="exact"/>
        <w:rPr>
          <w:rFonts w:ascii="黑体" w:hAnsi="黑体" w:eastAsia="黑体" w:cs="黑体"/>
          <w:b/>
          <w:bCs/>
          <w:sz w:val="30"/>
          <w:szCs w:val="30"/>
        </w:rPr>
      </w:pPr>
      <w:r>
        <w:rPr>
          <w:rFonts w:hint="eastAsia" w:ascii="黑体" w:hAnsi="黑体" w:eastAsia="黑体" w:cs="黑体"/>
          <w:b/>
          <w:bCs/>
          <w:sz w:val="30"/>
          <w:szCs w:val="30"/>
        </w:rPr>
        <w:t>8.3  技术保障</w:t>
      </w:r>
    </w:p>
    <w:p>
      <w:pPr>
        <w:spacing w:line="520" w:lineRule="exact"/>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农村生活污水治理设施的建设、改造方案应严把审核关，组织专家会审，并结合桃源县农村实 际情况，按方案高标准实施建设。施工招标阶段应通过公开招标选用有工程经验的施工单位进行施 工。建成后的农村生活污水治理设施应当组织专业技术人员按标准进行专项验收，“验收合格一批， 移交接收一批”。农村污水处理设施运行管理应该交付给有经验单位，并配备运维总工程师，水处</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理专家，统筹各工艺运行终端的技术维护管理，及时制定水质超标处理方案，定期开展农村生活污</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水治理设施的运维管理培训。建立物联网平台，实现实时掌握现场数据，对所有污水站点基础信息 档案进行管理，站点水质水量、设施管理人员、基础信息等资料均可在物联网平台软件中进行查询， 并在PC及手机端进行直观展现。</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加强与其他县市的交流学习，与国内外知名院校和科研机构合作。同时，加强对本地施工队伍的培训，引进装备化的技术工艺，避免由于人员素质导致的施工质量问题。开展针对桃源县污水处理设施运行管理中普遍性问题的技术公关和示范，并通过示范工程进行新技术的推广。为桃源县的农村生活污水治理工程建设提供技术保障。</w:t>
      </w:r>
    </w:p>
    <w:p>
      <w:pPr>
        <w:spacing w:line="360" w:lineRule="auto"/>
        <w:rPr>
          <w:rFonts w:ascii="黑体" w:hAnsi="黑体" w:eastAsia="黑体" w:cs="黑体"/>
          <w:b/>
          <w:bCs/>
          <w:sz w:val="30"/>
          <w:szCs w:val="30"/>
        </w:rPr>
      </w:pPr>
      <w:r>
        <w:rPr>
          <w:rFonts w:hint="eastAsia" w:ascii="黑体" w:hAnsi="黑体" w:eastAsia="黑体" w:cs="黑体"/>
          <w:b/>
          <w:bCs/>
          <w:sz w:val="30"/>
          <w:szCs w:val="30"/>
        </w:rPr>
        <w:t>8.4  建设质量保障</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加强农村生活污水治理设施建设的设计、用材、施工、竣工过程中的质量控制，加强监督管理。 确定农村生活污水治理设施竣工与运维移交准则，切实树立起“质量是工程建设生命”的理念，严 把工程建设每一个环节的质量关。</w:t>
      </w:r>
    </w:p>
    <w:p>
      <w:pPr>
        <w:spacing w:line="360" w:lineRule="auto"/>
        <w:rPr>
          <w:rFonts w:ascii="黑体" w:hAnsi="黑体" w:eastAsia="黑体" w:cs="黑体"/>
          <w:b/>
          <w:bCs/>
          <w:sz w:val="30"/>
          <w:szCs w:val="30"/>
        </w:rPr>
      </w:pPr>
      <w:r>
        <w:rPr>
          <w:rFonts w:hint="eastAsia" w:ascii="黑体" w:hAnsi="黑体" w:eastAsia="黑体" w:cs="黑体"/>
          <w:b/>
          <w:bCs/>
          <w:sz w:val="30"/>
          <w:szCs w:val="30"/>
        </w:rPr>
        <w:t>8.5  监管保障</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建立健全督查机制，制定切实可行的考核办法，并建立对第三方运维管理机构运维成效的考核 评价机制，采取定期督查、不定期抽查与重点复查等手段开展运维成效的督查考核。充分利用信息 化管理手段，健全农村生活污水治理设施长效管理绩效考核评价体系。</w:t>
      </w:r>
    </w:p>
    <w:p>
      <w:pPr>
        <w:spacing w:line="360" w:lineRule="auto"/>
        <w:rPr>
          <w:rFonts w:ascii="黑体" w:hAnsi="黑体" w:eastAsia="黑体" w:cs="黑体"/>
          <w:b/>
          <w:bCs/>
          <w:sz w:val="30"/>
          <w:szCs w:val="30"/>
        </w:rPr>
      </w:pPr>
      <w:r>
        <w:rPr>
          <w:rFonts w:hint="eastAsia" w:ascii="黑体" w:hAnsi="黑体" w:eastAsia="黑体" w:cs="黑体"/>
          <w:b/>
          <w:bCs/>
          <w:sz w:val="30"/>
          <w:szCs w:val="30"/>
        </w:rPr>
        <w:t>8.6  公众参与</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建立促进全民参与的宣教引导机制。通过电视、广播、报纸、新媒体等手段广泛宣传生活污水 治理的重要性和必要性，增强全社会环保意识，积极发挥农户的主观能动性，实现共建共享，形成 全社会开展生活污水治理的良好氛围。</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健全信息公开和监督机制，利用网络、村务公开栏公示等方式公布农村生活污水治理计划、项</w:t>
      </w:r>
    </w:p>
    <w:p>
      <w:pPr>
        <w:spacing w:line="360" w:lineRule="auto"/>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目建设、资金使用等信息，接受农民群众和社会的监督。各实施村要明确不少于1名村级监督员， 并将监督员名单予以公布；各乡镇（街道）可邀请人大代表，政协委员、党员代表、村代表和社会 组织进行监督，参与工程管理各个环节，构筑全方位、多层次、立体式的监督体系。</w:t>
      </w:r>
    </w:p>
    <w:sectPr>
      <w:footerReference r:id="rId3" w:type="default"/>
      <w:pgSz w:w="11906" w:h="16838"/>
      <w:pgMar w:top="1701" w:right="1247" w:bottom="1701" w:left="124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- 15 -</w:t>
                          </w:r>
                          <w:r>
                            <w:rPr>
                              <w:rFonts w:ascii="Times New Roman" w:hAnsi="Times New Roman" w:cs="Times New Roman"/>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- 15 -</w:t>
                    </w:r>
                    <w:r>
                      <w:rPr>
                        <w:rFonts w:ascii="Times New Roman" w:hAnsi="Times New Roman" w:cs="Times New Roman"/>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E03CC"/>
    <w:multiLevelType w:val="singleLevel"/>
    <w:tmpl w:val="629E03CC"/>
    <w:lvl w:ilvl="0" w:tentative="0">
      <w:start w:val="4"/>
      <w:numFmt w:val="decimal"/>
      <w:suff w:val="nothing"/>
      <w:lvlText w:val="（%1）"/>
      <w:lvlJc w:val="left"/>
    </w:lvl>
  </w:abstractNum>
  <w:abstractNum w:abstractNumId="1">
    <w:nsid w:val="629E0483"/>
    <w:multiLevelType w:val="singleLevel"/>
    <w:tmpl w:val="629E0483"/>
    <w:lvl w:ilvl="0" w:tentative="0">
      <w:start w:val="1"/>
      <w:numFmt w:val="decimal"/>
      <w:suff w:val="nothing"/>
      <w:lvlText w:val="（%1）"/>
      <w:lvlJc w:val="left"/>
    </w:lvl>
  </w:abstractNum>
  <w:abstractNum w:abstractNumId="2">
    <w:nsid w:val="629F0556"/>
    <w:multiLevelType w:val="singleLevel"/>
    <w:tmpl w:val="629F0556"/>
    <w:lvl w:ilvl="0" w:tentative="0">
      <w:start w:val="3"/>
      <w:numFmt w:val="decimal"/>
      <w:suff w:val="nothing"/>
      <w:lvlText w:val="（%1）"/>
      <w:lvlJc w:val="left"/>
    </w:lvl>
  </w:abstractNum>
  <w:abstractNum w:abstractNumId="3">
    <w:nsid w:val="629F52D4"/>
    <w:multiLevelType w:val="singleLevel"/>
    <w:tmpl w:val="629F52D4"/>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82513"/>
    <w:rsid w:val="003B6A9C"/>
    <w:rsid w:val="0057409E"/>
    <w:rsid w:val="008D350C"/>
    <w:rsid w:val="00923ED0"/>
    <w:rsid w:val="00A54A66"/>
    <w:rsid w:val="00BD79EF"/>
    <w:rsid w:val="00C22B48"/>
    <w:rsid w:val="00C3275F"/>
    <w:rsid w:val="00D61FCD"/>
    <w:rsid w:val="00DC1023"/>
    <w:rsid w:val="0116333B"/>
    <w:rsid w:val="01683E26"/>
    <w:rsid w:val="016D5E40"/>
    <w:rsid w:val="02413007"/>
    <w:rsid w:val="03E216D7"/>
    <w:rsid w:val="04DB3B8F"/>
    <w:rsid w:val="069C1711"/>
    <w:rsid w:val="07F953E6"/>
    <w:rsid w:val="084F0F62"/>
    <w:rsid w:val="08E92764"/>
    <w:rsid w:val="0A832F09"/>
    <w:rsid w:val="0E8241E5"/>
    <w:rsid w:val="0EE44523"/>
    <w:rsid w:val="10835FAE"/>
    <w:rsid w:val="10D12D1A"/>
    <w:rsid w:val="10D410FB"/>
    <w:rsid w:val="128E7B27"/>
    <w:rsid w:val="12EC1284"/>
    <w:rsid w:val="13BE704D"/>
    <w:rsid w:val="1453410D"/>
    <w:rsid w:val="14634C86"/>
    <w:rsid w:val="15A3147C"/>
    <w:rsid w:val="15D4619E"/>
    <w:rsid w:val="16232CA2"/>
    <w:rsid w:val="16250FB8"/>
    <w:rsid w:val="163301C9"/>
    <w:rsid w:val="16A61D96"/>
    <w:rsid w:val="16C73933"/>
    <w:rsid w:val="1784197E"/>
    <w:rsid w:val="1A025C4A"/>
    <w:rsid w:val="1AFD4ECB"/>
    <w:rsid w:val="1C204511"/>
    <w:rsid w:val="1CD2686A"/>
    <w:rsid w:val="1CE32249"/>
    <w:rsid w:val="1D9E2A6C"/>
    <w:rsid w:val="1F230495"/>
    <w:rsid w:val="1FD22964"/>
    <w:rsid w:val="206707D2"/>
    <w:rsid w:val="21721E07"/>
    <w:rsid w:val="217A61DA"/>
    <w:rsid w:val="22357442"/>
    <w:rsid w:val="223E1511"/>
    <w:rsid w:val="22AC1791"/>
    <w:rsid w:val="23DC131E"/>
    <w:rsid w:val="2581734A"/>
    <w:rsid w:val="25C50749"/>
    <w:rsid w:val="27376C47"/>
    <w:rsid w:val="28D22CE6"/>
    <w:rsid w:val="297954CA"/>
    <w:rsid w:val="2A2C7195"/>
    <w:rsid w:val="2AEA2D36"/>
    <w:rsid w:val="2B5401C8"/>
    <w:rsid w:val="2DD725BA"/>
    <w:rsid w:val="2E4C7B57"/>
    <w:rsid w:val="2FF15131"/>
    <w:rsid w:val="30E97590"/>
    <w:rsid w:val="340462C9"/>
    <w:rsid w:val="35332444"/>
    <w:rsid w:val="368E776F"/>
    <w:rsid w:val="37B6180C"/>
    <w:rsid w:val="3AF16047"/>
    <w:rsid w:val="3D1C4E8C"/>
    <w:rsid w:val="3F117D78"/>
    <w:rsid w:val="3F8D3925"/>
    <w:rsid w:val="3FA45105"/>
    <w:rsid w:val="403F5491"/>
    <w:rsid w:val="412E4F35"/>
    <w:rsid w:val="41E11F1B"/>
    <w:rsid w:val="42084964"/>
    <w:rsid w:val="447811D2"/>
    <w:rsid w:val="44F409B4"/>
    <w:rsid w:val="456B61E2"/>
    <w:rsid w:val="45A94E6F"/>
    <w:rsid w:val="477E77FE"/>
    <w:rsid w:val="481D33C5"/>
    <w:rsid w:val="483451F4"/>
    <w:rsid w:val="48BF2E57"/>
    <w:rsid w:val="48FD1652"/>
    <w:rsid w:val="49B9383F"/>
    <w:rsid w:val="4A8A71D3"/>
    <w:rsid w:val="4AB26D24"/>
    <w:rsid w:val="4B2D65E0"/>
    <w:rsid w:val="4B4413EA"/>
    <w:rsid w:val="4BAF4DBC"/>
    <w:rsid w:val="4C2F5373"/>
    <w:rsid w:val="4D26691C"/>
    <w:rsid w:val="4D2674A7"/>
    <w:rsid w:val="4D8F611E"/>
    <w:rsid w:val="4EBD5EE2"/>
    <w:rsid w:val="4F68755C"/>
    <w:rsid w:val="4FEA295F"/>
    <w:rsid w:val="518115DD"/>
    <w:rsid w:val="5183346E"/>
    <w:rsid w:val="5201520F"/>
    <w:rsid w:val="53A86086"/>
    <w:rsid w:val="53E2650C"/>
    <w:rsid w:val="552256CD"/>
    <w:rsid w:val="569743C8"/>
    <w:rsid w:val="56BC1839"/>
    <w:rsid w:val="56CE0B09"/>
    <w:rsid w:val="58156F1B"/>
    <w:rsid w:val="58984E5A"/>
    <w:rsid w:val="59451AFB"/>
    <w:rsid w:val="5A2C5AED"/>
    <w:rsid w:val="5A617FB9"/>
    <w:rsid w:val="5B483311"/>
    <w:rsid w:val="5BB43DD5"/>
    <w:rsid w:val="5E834CCC"/>
    <w:rsid w:val="5F6538D4"/>
    <w:rsid w:val="5FA7128B"/>
    <w:rsid w:val="600B2714"/>
    <w:rsid w:val="604A5487"/>
    <w:rsid w:val="61587277"/>
    <w:rsid w:val="61C80335"/>
    <w:rsid w:val="62912755"/>
    <w:rsid w:val="62AF6CD6"/>
    <w:rsid w:val="63485BD0"/>
    <w:rsid w:val="653F43DD"/>
    <w:rsid w:val="69D5422A"/>
    <w:rsid w:val="69E20D8C"/>
    <w:rsid w:val="6A513736"/>
    <w:rsid w:val="6A76066D"/>
    <w:rsid w:val="6AEC7470"/>
    <w:rsid w:val="6BA42E0E"/>
    <w:rsid w:val="6C2C73B1"/>
    <w:rsid w:val="6D977693"/>
    <w:rsid w:val="6EDD3384"/>
    <w:rsid w:val="6F432678"/>
    <w:rsid w:val="70081009"/>
    <w:rsid w:val="716107EA"/>
    <w:rsid w:val="7191486B"/>
    <w:rsid w:val="73187705"/>
    <w:rsid w:val="73211198"/>
    <w:rsid w:val="74500D1C"/>
    <w:rsid w:val="74E07790"/>
    <w:rsid w:val="758D1519"/>
    <w:rsid w:val="75D07E88"/>
    <w:rsid w:val="76A11BC7"/>
    <w:rsid w:val="776442A8"/>
    <w:rsid w:val="7993600C"/>
    <w:rsid w:val="7A8D600F"/>
    <w:rsid w:val="7C2A7AFF"/>
    <w:rsid w:val="7D1A6828"/>
    <w:rsid w:val="7D9C33DB"/>
    <w:rsid w:val="7DEC725B"/>
    <w:rsid w:val="7E63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5741</Words>
  <Characters>32726</Characters>
  <Lines>272</Lines>
  <Paragraphs>76</Paragraphs>
  <TotalTime>48</TotalTime>
  <ScaleCrop>false</ScaleCrop>
  <LinksUpToDate>false</LinksUpToDate>
  <CharactersWithSpaces>38391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2022-06-06T09:43:00Z</dcterms:created>
  <dc:creator>User</dc:creator>
  <cp:lastModifiedBy>珍惜</cp:lastModifiedBy>
  <dcterms:modified xsi:type="dcterms:W3CDTF">2022-06-30T02:28:03Z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243CFC4A728A4BCEA2EDB5CC7043C62F</vt:lpwstr>
  </property>
</Properties>
</file>