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460" w:lineRule="exact"/>
        <w:ind w:left="1325" w:leftChars="0" w:hanging="1325" w:hangingChars="300"/>
        <w:jc w:val="both"/>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省巩固拓展产业扶贫成果重点项目</w:t>
      </w:r>
      <w:r>
        <w:rPr>
          <w:rFonts w:hint="eastAsia" w:ascii="方正小标宋简体" w:hAnsi="方正小标宋简体" w:eastAsia="方正小标宋简体" w:cs="方正小标宋简体"/>
          <w:b w:val="0"/>
          <w:bCs/>
          <w:sz w:val="44"/>
          <w:szCs w:val="44"/>
        </w:rPr>
        <w:t>资金分配计划表</w:t>
      </w:r>
    </w:p>
    <w:bookmarkEnd w:id="0"/>
    <w:p>
      <w:pPr>
        <w:keepNext w:val="0"/>
        <w:keepLines w:val="0"/>
        <w:pageBreakBefore w:val="0"/>
        <w:widowControl w:val="0"/>
        <w:kinsoku/>
        <w:wordWrap/>
        <w:overflowPunct/>
        <w:topLinePunct w:val="0"/>
        <w:autoSpaceDE/>
        <w:autoSpaceDN/>
        <w:bidi w:val="0"/>
        <w:adjustRightInd/>
        <w:snapToGrid/>
        <w:spacing w:line="460" w:lineRule="exact"/>
        <w:ind w:left="1320" w:leftChars="0" w:hanging="1320" w:hangingChars="300"/>
        <w:jc w:val="both"/>
        <w:textAlignment w:val="auto"/>
        <w:rPr>
          <w:rFonts w:hint="eastAsia" w:ascii="黑体" w:hAnsi="黑体" w:eastAsia="黑体" w:cs="黑体"/>
          <w:b w:val="0"/>
          <w:bCs/>
          <w:sz w:val="44"/>
          <w:szCs w:val="44"/>
        </w:rPr>
      </w:pPr>
    </w:p>
    <w:tbl>
      <w:tblPr>
        <w:tblStyle w:val="6"/>
        <w:tblW w:w="15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690"/>
        <w:gridCol w:w="2865"/>
        <w:gridCol w:w="4185"/>
        <w:gridCol w:w="1140"/>
        <w:gridCol w:w="111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40" w:type="dxa"/>
            <w:shd w:val="clear" w:color="auto" w:fill="auto"/>
            <w:noWrap w:val="0"/>
            <w:vAlign w:val="center"/>
          </w:tcPr>
          <w:p>
            <w:pPr>
              <w:widowControl/>
              <w:jc w:val="cente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乡镇</w:t>
            </w:r>
          </w:p>
          <w:p>
            <w:pPr>
              <w:widowControl/>
              <w:jc w:val="cente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（街道）</w:t>
            </w:r>
          </w:p>
        </w:tc>
        <w:tc>
          <w:tcPr>
            <w:tcW w:w="3690" w:type="dxa"/>
            <w:shd w:val="clear" w:color="auto" w:fill="auto"/>
            <w:noWrap w:val="0"/>
            <w:vAlign w:val="center"/>
          </w:tcPr>
          <w:p>
            <w:pPr>
              <w:widowControl/>
              <w:jc w:val="center"/>
              <w:rPr>
                <w:rFonts w:hint="eastAsia" w:asciiTheme="minorEastAsia" w:hAnsiTheme="minorEastAsia" w:eastAsiaTheme="minorEastAsia" w:cstheme="minorEastAsia"/>
                <w:b/>
                <w:bCs w:val="0"/>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项目</w:t>
            </w:r>
            <w:r>
              <w:rPr>
                <w:rFonts w:hint="eastAsia" w:asciiTheme="minorEastAsia" w:hAnsiTheme="minorEastAsia" w:eastAsiaTheme="minorEastAsia" w:cstheme="minorEastAsia"/>
                <w:b/>
                <w:bCs w:val="0"/>
                <w:color w:val="000000" w:themeColor="text1"/>
                <w:kern w:val="0"/>
                <w:sz w:val="24"/>
                <w:szCs w:val="24"/>
                <w:lang w:eastAsia="zh-CN"/>
                <w14:textFill>
                  <w14:solidFill>
                    <w14:schemeClr w14:val="tx1"/>
                  </w14:solidFill>
                </w14:textFill>
              </w:rPr>
              <w:t>名称</w:t>
            </w:r>
          </w:p>
        </w:tc>
        <w:tc>
          <w:tcPr>
            <w:tcW w:w="2865" w:type="dxa"/>
            <w:shd w:val="clear" w:color="auto" w:fill="auto"/>
            <w:noWrap w:val="0"/>
            <w:vAlign w:val="center"/>
          </w:tcPr>
          <w:p>
            <w:pPr>
              <w:widowControl/>
              <w:jc w:val="cente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项目实施主体</w:t>
            </w:r>
          </w:p>
        </w:tc>
        <w:tc>
          <w:tcPr>
            <w:tcW w:w="4185" w:type="dxa"/>
            <w:shd w:val="clear" w:color="auto" w:fill="auto"/>
            <w:noWrap w:val="0"/>
            <w:vAlign w:val="center"/>
          </w:tcPr>
          <w:p>
            <w:pPr>
              <w:widowControl/>
              <w:jc w:val="cente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主要建设内容</w:t>
            </w:r>
          </w:p>
        </w:tc>
        <w:tc>
          <w:tcPr>
            <w:tcW w:w="1140" w:type="dxa"/>
            <w:shd w:val="clear" w:color="auto" w:fill="auto"/>
            <w:noWrap w:val="0"/>
            <w:vAlign w:val="center"/>
          </w:tcPr>
          <w:p>
            <w:pPr>
              <w:widowControl/>
              <w:jc w:val="cente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资金量</w:t>
            </w:r>
          </w:p>
          <w:p>
            <w:pPr>
              <w:widowControl/>
              <w:jc w:val="cente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（万元）</w:t>
            </w:r>
          </w:p>
        </w:tc>
        <w:tc>
          <w:tcPr>
            <w:tcW w:w="1110" w:type="dxa"/>
            <w:shd w:val="clear" w:color="000000" w:fill="FFFFFF"/>
            <w:noWrap w:val="0"/>
            <w:vAlign w:val="center"/>
          </w:tcPr>
          <w:p>
            <w:pPr>
              <w:widowControl/>
              <w:jc w:val="center"/>
              <w:rPr>
                <w:rFonts w:hint="eastAsia" w:asciiTheme="minorEastAsia" w:hAnsiTheme="minorEastAsia" w:eastAsiaTheme="minorEastAsia" w:cstheme="minorEastAsia"/>
                <w:b/>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lang w:eastAsia="zh-CN"/>
                <w14:textFill>
                  <w14:solidFill>
                    <w14:schemeClr w14:val="tx1"/>
                  </w14:solidFill>
                </w14:textFill>
              </w:rPr>
              <w:t>受益村</w:t>
            </w:r>
          </w:p>
        </w:tc>
        <w:tc>
          <w:tcPr>
            <w:tcW w:w="984" w:type="dxa"/>
            <w:noWrap w:val="0"/>
            <w:vAlign w:val="center"/>
          </w:tcPr>
          <w:p>
            <w:pPr>
              <w:widowControl/>
              <w:jc w:val="cente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14:textFill>
                  <w14:solidFill>
                    <w14:schemeClr w14:val="tx1"/>
                  </w14:solidFill>
                </w14:textFill>
              </w:rPr>
              <w:t>保底收益年限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陬市镇</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桃源县常德市龙凤米业有限公司原日产150吨大米加工生产线</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升级改造日产200吨大米加工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生产线项目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常德市龙凤米业有限公司</w:t>
            </w:r>
          </w:p>
        </w:tc>
        <w:tc>
          <w:tcPr>
            <w:tcW w:w="4185" w:type="dxa"/>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WFPG180D抛光机3台、SC7PLUS色选机1台、白米分级筛1台、打包秤1台，两面真空包装机1台、六面真空包装机1台</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lang w:val="en-US"/>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100</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酒铺岗村</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茶庵铺镇</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桃源县夷望溪茶业有限公司新增茶叶自动炒干生产线项目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桃源县夷望溪茶业有限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公司</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新增茶叶自动炒干生产线：茶叶炒干机</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6CCT-140A</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40台、颗粒燃烧机</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SWRSJ-30</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40台、茶叶炒干机物料输送连线</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6CCT-140A</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4套、电气控制柜</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XL-21</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4套</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100</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松阳坪村</w:t>
            </w: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郑家驿镇</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桃源县湖南神仙界生态茶业有限公司茶叶加工设备生产线项目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湖南神仙界生态茶业有限公司</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购置茶叶加工设备14台</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100</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寺坪</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社区</w:t>
            </w: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木塘垸镇</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桃源县湖南益禾德丰生态农业科技有限公司油稻轮作现代化示范项目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湖南益禾德丰生态农业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科技有限公司</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购</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置</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油菜收割机2台</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农友20吨与30吨烘干机各1台及配套设施</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100</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仁丰村</w:t>
            </w: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泥窝潭乡</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桃源县易禾生态农业专业合作社钢架结构厂房建设项目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桃源县易禾生态农业专业合作社</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新建钢架结构厂房1处800平方米</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双溪口镇</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桃源县福善岗生态农业专业合作社扩种、补种优质新品柑橘</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完善基础设施建设项目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桃源县福善岗生态农业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专业合作社</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补种优质新品柑橘1500株、扩种优质新品柑橘19.5亩、浆砌护坡108立方米</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 xml:space="preserve">木塘垸镇 </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桃源县高家桥种养专业合作社菜籽油加工仓储项目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桃源县高家桥种养专业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合作社</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新建</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菜籽油加工生产线</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枫树维回乡</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桃源县金鹏农业机械化服务专业合作社日处理300吨油菜籽烘干中心新建项目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桃源县金鹏农业机械化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服务专业合作社</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购置</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30吨烘干机2台</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马鬃岭镇</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湖南省鹤峰富硒甜桔专业合作社示范基地标准化、设施化、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机械化项目建设</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湖南省鹤峰富硒甜桔专业合作社</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新建</w:t>
            </w: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抗旱施肥滴灌系统80亩，机耕道1500米</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杨溪桥镇</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桃源县仙池界茶叶专业合作社茶园基地偏坡改梯、设备购买</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项目</w:t>
            </w: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桃源县仙池界茶叶专业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合作社</w:t>
            </w: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新增设备23台，茶园基地偏坡改梯100亩</w:t>
            </w: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12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合计</w:t>
            </w:r>
          </w:p>
        </w:tc>
        <w:tc>
          <w:tcPr>
            <w:tcW w:w="36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28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418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114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560</w:t>
            </w:r>
          </w:p>
        </w:tc>
        <w:tc>
          <w:tcPr>
            <w:tcW w:w="111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p>
        </w:tc>
      </w:tr>
    </w:tbl>
    <w:p>
      <w:pPr>
        <w:ind w:firstLine="643" w:firstLineChars="200"/>
        <w:rPr>
          <w:rFonts w:hint="default" w:ascii="Times New Roman" w:hAnsi="Times New Roman" w:eastAsia="仿宋_GB2312" w:cs="Times New Roman"/>
          <w:b/>
          <w:bCs/>
          <w:color w:val="auto"/>
          <w:sz w:val="32"/>
          <w:szCs w:val="32"/>
          <w:lang w:val="en-US" w:eastAsia="zh-CN"/>
        </w:rPr>
      </w:pP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OTQ3OWQ2MzdkNmFmYjI4OWNiYTFmY2IwZDYzNDcifQ=="/>
  </w:docVars>
  <w:rsids>
    <w:rsidRoot w:val="00BE7B5B"/>
    <w:rsid w:val="00087C67"/>
    <w:rsid w:val="00BE7B5B"/>
    <w:rsid w:val="01841A90"/>
    <w:rsid w:val="018A0F2C"/>
    <w:rsid w:val="027240CF"/>
    <w:rsid w:val="02D6295E"/>
    <w:rsid w:val="08771AE0"/>
    <w:rsid w:val="0D3A5648"/>
    <w:rsid w:val="0D6812EC"/>
    <w:rsid w:val="0E152ED7"/>
    <w:rsid w:val="0F903709"/>
    <w:rsid w:val="0FCA15D1"/>
    <w:rsid w:val="1123072E"/>
    <w:rsid w:val="136E7713"/>
    <w:rsid w:val="13E850C3"/>
    <w:rsid w:val="14EC51E3"/>
    <w:rsid w:val="17070EBC"/>
    <w:rsid w:val="183053DF"/>
    <w:rsid w:val="1BC7025F"/>
    <w:rsid w:val="1C611DA8"/>
    <w:rsid w:val="1F143FAF"/>
    <w:rsid w:val="24F7126B"/>
    <w:rsid w:val="25D66525"/>
    <w:rsid w:val="25FF42A5"/>
    <w:rsid w:val="26393664"/>
    <w:rsid w:val="26F36D12"/>
    <w:rsid w:val="27607B45"/>
    <w:rsid w:val="27E5422A"/>
    <w:rsid w:val="304B5B40"/>
    <w:rsid w:val="33324052"/>
    <w:rsid w:val="33B643FC"/>
    <w:rsid w:val="36BE16BD"/>
    <w:rsid w:val="374C0B4B"/>
    <w:rsid w:val="37C857A5"/>
    <w:rsid w:val="38FC1ED4"/>
    <w:rsid w:val="39CC1CDF"/>
    <w:rsid w:val="3D8A5D30"/>
    <w:rsid w:val="3DB37BC5"/>
    <w:rsid w:val="3FD80FD4"/>
    <w:rsid w:val="409C00D8"/>
    <w:rsid w:val="42485048"/>
    <w:rsid w:val="435C06D2"/>
    <w:rsid w:val="43745FD1"/>
    <w:rsid w:val="43D9791C"/>
    <w:rsid w:val="47272C25"/>
    <w:rsid w:val="48791C60"/>
    <w:rsid w:val="48C13B5F"/>
    <w:rsid w:val="4EE11887"/>
    <w:rsid w:val="501E41CF"/>
    <w:rsid w:val="50D170BB"/>
    <w:rsid w:val="50FD1BF3"/>
    <w:rsid w:val="516C609E"/>
    <w:rsid w:val="52794076"/>
    <w:rsid w:val="533F3DAF"/>
    <w:rsid w:val="55685BBA"/>
    <w:rsid w:val="574247D3"/>
    <w:rsid w:val="588A7B61"/>
    <w:rsid w:val="5A743AB8"/>
    <w:rsid w:val="5B9727F8"/>
    <w:rsid w:val="5D5573E0"/>
    <w:rsid w:val="657B5B48"/>
    <w:rsid w:val="691006F2"/>
    <w:rsid w:val="6A5C2CC8"/>
    <w:rsid w:val="72303992"/>
    <w:rsid w:val="72927CCC"/>
    <w:rsid w:val="78314F56"/>
    <w:rsid w:val="78D76987"/>
    <w:rsid w:val="79B502DC"/>
    <w:rsid w:val="7AC70A05"/>
    <w:rsid w:val="7DE32CCB"/>
    <w:rsid w:val="7E8759D6"/>
    <w:rsid w:val="7FBC5BA2"/>
    <w:rsid w:val="7FD2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pPr>
      <w:spacing w:line="660" w:lineRule="exact"/>
      <w:ind w:firstLine="705"/>
    </w:pPr>
    <w:rPr>
      <w:rFonts w:ascii="仿宋_GB2312" w:eastAsia="仿宋_GB2312"/>
      <w:color w:val="000000"/>
      <w:sz w:val="36"/>
      <w:szCs w:val="36"/>
    </w:rPr>
  </w:style>
  <w:style w:type="paragraph" w:styleId="3">
    <w:name w:val="Body Text"/>
    <w:basedOn w:val="1"/>
    <w:unhideWhenUsed/>
    <w:qFormat/>
    <w:uiPriority w:val="0"/>
    <w:pPr>
      <w:spacing w:after="120"/>
    </w:pPr>
    <w:rPr>
      <w:rFonts w:ascii="Calibri" w:hAnsi="Calibri" w:eastAsia="宋体"/>
      <w:sz w:val="21"/>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 w:type="character" w:customStyle="1" w:styleId="11">
    <w:name w:val="font11"/>
    <w:basedOn w:val="7"/>
    <w:qFormat/>
    <w:uiPriority w:val="0"/>
    <w:rPr>
      <w:rFonts w:hint="eastAsia" w:ascii="宋体" w:hAnsi="宋体" w:eastAsia="宋体" w:cs="宋体"/>
      <w:color w:val="000000"/>
      <w:sz w:val="18"/>
      <w:szCs w:val="18"/>
      <w:u w:val="none"/>
    </w:rPr>
  </w:style>
  <w:style w:type="character" w:customStyle="1" w:styleId="12">
    <w:name w:val="font21"/>
    <w:basedOn w:val="7"/>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1707</Words>
  <Characters>1818</Characters>
  <Lines>6</Lines>
  <Paragraphs>1</Paragraphs>
  <TotalTime>39</TotalTime>
  <ScaleCrop>false</ScaleCrop>
  <LinksUpToDate>false</LinksUpToDate>
  <CharactersWithSpaces>1820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2022-09-01T00:53:00Z</dcterms:created>
  <dc:creator>Administrator</dc:creator>
  <cp:lastModifiedBy>珍惜</cp:lastModifiedBy>
  <cp:lastPrinted>2023-08-07T03:09:00Z</cp:lastPrinted>
  <dcterms:modified xsi:type="dcterms:W3CDTF">2023-08-29T02:47:25Z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D1747B43F0284556BE191F8648393ECA</vt:lpwstr>
  </property>
</Properties>
</file>