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w:t>
      </w:r>
      <w:r>
        <w:rPr>
          <w:rFonts w:hint="eastAsia" w:eastAsia="方正小标宋_GBK"/>
          <w:sz w:val="52"/>
          <w:szCs w:val="52"/>
        </w:rPr>
        <w:t>2</w:t>
      </w:r>
      <w:r>
        <w:rPr>
          <w:rFonts w:hint="eastAsia" w:eastAsia="方正小标宋_GBK" w:cs="方正小标宋_GBK"/>
          <w:sz w:val="52"/>
          <w:szCs w:val="52"/>
        </w:rPr>
        <w:t>年度</w:t>
      </w:r>
      <w:r>
        <w:rPr>
          <w:rFonts w:hint="eastAsia" w:eastAsia="方正小标宋_GBK"/>
          <w:sz w:val="52"/>
          <w:szCs w:val="52"/>
        </w:rPr>
        <w:t>中共桃源县委办公室</w:t>
      </w:r>
    </w:p>
    <w:p>
      <w:pPr>
        <w:jc w:val="center"/>
        <w:rPr>
          <w:rFonts w:eastAsia="方正小标宋_GBK"/>
          <w:sz w:val="52"/>
          <w:szCs w:val="52"/>
        </w:rPr>
      </w:pPr>
      <w:r>
        <w:rPr>
          <w:rFonts w:hint="eastAsia" w:eastAsia="方正小标宋_GBK" w:cs="方正小标宋_GBK"/>
          <w:sz w:val="52"/>
          <w:szCs w:val="52"/>
        </w:rPr>
        <w:t>整体支出绩效自评报告</w:t>
      </w:r>
    </w:p>
    <w:p>
      <w:pPr>
        <w:jc w:val="center"/>
        <w:rPr>
          <w:rFonts w:eastAsia="方正小标宋_GBK"/>
          <w:b/>
          <w:bCs/>
          <w:sz w:val="52"/>
          <w:szCs w:val="5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1920" w:firstLineChars="600"/>
        <w:rPr>
          <w:rFonts w:eastAsia="仿宋"/>
          <w:sz w:val="32"/>
          <w:szCs w:val="32"/>
          <w:u w:val="single"/>
        </w:rPr>
      </w:pPr>
      <w:r>
        <w:rPr>
          <w:rFonts w:hint="eastAsia" w:eastAsia="仿宋" w:cs="仿宋"/>
          <w:sz w:val="32"/>
          <w:szCs w:val="32"/>
        </w:rPr>
        <w:t>单位名称：</w:t>
      </w:r>
      <w:r>
        <w:rPr>
          <w:rFonts w:hint="eastAsia" w:eastAsia="仿宋"/>
          <w:sz w:val="32"/>
          <w:szCs w:val="32"/>
          <w:u w:val="single"/>
        </w:rPr>
        <w:t>中共桃源县委办公室</w:t>
      </w:r>
    </w:p>
    <w:p>
      <w:pPr>
        <w:spacing w:line="600" w:lineRule="exact"/>
        <w:ind w:firstLine="3200" w:firstLineChars="1000"/>
        <w:rPr>
          <w:rFonts w:eastAsia="仿宋"/>
          <w:sz w:val="32"/>
          <w:szCs w:val="32"/>
        </w:rPr>
      </w:pPr>
      <w:r>
        <w:rPr>
          <w:rFonts w:eastAsia="仿宋"/>
          <w:sz w:val="32"/>
          <w:szCs w:val="32"/>
        </w:rPr>
        <w:t>202</w:t>
      </w:r>
      <w:r>
        <w:rPr>
          <w:rFonts w:hint="eastAsia" w:eastAsia="仿宋"/>
          <w:sz w:val="32"/>
          <w:szCs w:val="32"/>
        </w:rPr>
        <w:t>3</w:t>
      </w:r>
      <w:r>
        <w:rPr>
          <w:rFonts w:hint="eastAsia" w:eastAsia="仿宋" w:cs="仿宋"/>
          <w:sz w:val="32"/>
          <w:szCs w:val="32"/>
        </w:rPr>
        <w:t>年</w:t>
      </w:r>
      <w:r>
        <w:rPr>
          <w:rFonts w:hint="eastAsia" w:eastAsia="仿宋"/>
          <w:sz w:val="32"/>
          <w:szCs w:val="32"/>
        </w:rPr>
        <w:t>9</w:t>
      </w:r>
      <w:r>
        <w:rPr>
          <w:rFonts w:hint="eastAsia" w:eastAsia="仿宋" w:cs="仿宋"/>
          <w:sz w:val="32"/>
          <w:szCs w:val="32"/>
        </w:rPr>
        <w:t>月</w:t>
      </w:r>
      <w:r>
        <w:rPr>
          <w:rFonts w:hint="eastAsia" w:eastAsia="仿宋"/>
          <w:sz w:val="32"/>
          <w:szCs w:val="32"/>
        </w:rPr>
        <w:t>22</w:t>
      </w:r>
      <w:r>
        <w:rPr>
          <w:rFonts w:hint="eastAsia" w:eastAsia="仿宋" w:cs="仿宋"/>
          <w:sz w:val="32"/>
          <w:szCs w:val="32"/>
        </w:rPr>
        <w:t>日</w:t>
      </w: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2</w:t>
      </w:r>
      <w:r>
        <w:rPr>
          <w:rFonts w:hint="eastAsia" w:eastAsia="方正小标宋_GBK" w:cs="方正小标宋_GBK"/>
          <w:sz w:val="44"/>
          <w:szCs w:val="44"/>
        </w:rPr>
        <w:t>年度</w:t>
      </w:r>
      <w:r>
        <w:rPr>
          <w:rFonts w:hint="eastAsia" w:eastAsia="方正小标宋_GBK"/>
          <w:kern w:val="0"/>
          <w:sz w:val="44"/>
          <w:szCs w:val="44"/>
        </w:rPr>
        <w:t>县委办</w:t>
      </w:r>
      <w:r>
        <w:rPr>
          <w:rFonts w:eastAsia="方正小标宋_GBK"/>
          <w:kern w:val="0"/>
          <w:sz w:val="44"/>
          <w:szCs w:val="44"/>
        </w:rPr>
        <w:t>部门</w:t>
      </w:r>
      <w:r>
        <w:rPr>
          <w:rFonts w:hint="eastAsia" w:eastAsia="方正小标宋_GBK" w:cs="方正小标宋_GBK"/>
          <w:sz w:val="44"/>
          <w:szCs w:val="44"/>
        </w:rPr>
        <w:t>整体支出</w:t>
      </w:r>
    </w:p>
    <w:p>
      <w:pPr>
        <w:spacing w:line="560" w:lineRule="exact"/>
        <w:jc w:val="center"/>
        <w:rPr>
          <w:rFonts w:eastAsia="方正小标宋_GBK"/>
          <w:sz w:val="44"/>
          <w:szCs w:val="44"/>
        </w:rPr>
      </w:pPr>
      <w:r>
        <w:rPr>
          <w:rFonts w:hint="eastAsia" w:eastAsia="方正小标宋_GBK" w:cs="方正小标宋_GBK"/>
          <w:sz w:val="44"/>
          <w:szCs w:val="44"/>
        </w:rPr>
        <w:t>绩效自评报告</w:t>
      </w:r>
    </w:p>
    <w:p>
      <w:pPr>
        <w:spacing w:line="560" w:lineRule="exact"/>
        <w:rPr>
          <w:rFonts w:eastAsia="黑体"/>
          <w:sz w:val="32"/>
          <w:szCs w:val="32"/>
        </w:rPr>
      </w:pPr>
    </w:p>
    <w:p>
      <w:pPr>
        <w:spacing w:line="500" w:lineRule="exact"/>
        <w:ind w:firstLine="640" w:firstLineChars="200"/>
        <w:rPr>
          <w:rFonts w:eastAsia="黑体"/>
          <w:sz w:val="32"/>
          <w:szCs w:val="32"/>
        </w:rPr>
      </w:pPr>
      <w:r>
        <w:rPr>
          <w:rFonts w:hint="eastAsia" w:eastAsia="黑体" w:cs="黑体"/>
          <w:sz w:val="32"/>
          <w:szCs w:val="32"/>
        </w:rPr>
        <w:t>一、部门（单位）基本情况</w:t>
      </w:r>
    </w:p>
    <w:p>
      <w:pPr>
        <w:widowControl/>
        <w:spacing w:line="500" w:lineRule="exact"/>
        <w:ind w:firstLine="640" w:firstLineChars="200"/>
        <w:rPr>
          <w:rFonts w:eastAsia="楷体_GB2312"/>
          <w:sz w:val="32"/>
          <w:szCs w:val="32"/>
        </w:rPr>
      </w:pPr>
      <w:r>
        <w:rPr>
          <w:rFonts w:hint="eastAsia" w:eastAsia="楷体_GB2312" w:cs="楷体_GB2312"/>
          <w:sz w:val="32"/>
          <w:szCs w:val="32"/>
        </w:rPr>
        <w:t>（一）机构、人员构成</w:t>
      </w:r>
    </w:p>
    <w:p>
      <w:pPr>
        <w:widowControl/>
        <w:spacing w:line="500" w:lineRule="exact"/>
        <w:ind w:firstLine="640" w:firstLineChars="200"/>
        <w:rPr>
          <w:sz w:val="30"/>
          <w:szCs w:val="30"/>
        </w:rPr>
      </w:pPr>
      <w:r>
        <w:rPr>
          <w:rFonts w:hint="eastAsia"/>
          <w:kern w:val="0"/>
          <w:sz w:val="32"/>
          <w:szCs w:val="32"/>
        </w:rPr>
        <w:t>中共桃源县委办是公务员管理正科级单位</w:t>
      </w:r>
      <w:r>
        <w:rPr>
          <w:rFonts w:hint="eastAsia" w:cs="仿宋_GB2312"/>
          <w:sz w:val="30"/>
          <w:szCs w:val="30"/>
        </w:rPr>
        <w:t>，下设有</w:t>
      </w:r>
      <w:r>
        <w:rPr>
          <w:rFonts w:hint="eastAsia" w:cs="仿宋_GB2312"/>
          <w:bCs/>
          <w:kern w:val="0"/>
          <w:sz w:val="32"/>
          <w:szCs w:val="32"/>
        </w:rPr>
        <w:t>县委值班室、后勤组、督查室（中共桃源县委督查室）、国安办、政工人事组、文秘和档案业务指导室、外事和港澳台事务组（行政审批服务办公室）、机要保密室、综调组、信息组、改革事务组</w:t>
      </w:r>
      <w:r>
        <w:rPr>
          <w:rFonts w:hint="eastAsia"/>
          <w:kern w:val="0"/>
          <w:sz w:val="32"/>
          <w:szCs w:val="32"/>
        </w:rPr>
        <w:t>等组</w:t>
      </w:r>
      <w:r>
        <w:rPr>
          <w:rFonts w:hint="eastAsia" w:cs="仿宋_GB2312"/>
          <w:sz w:val="30"/>
          <w:szCs w:val="30"/>
        </w:rPr>
        <w:t>室</w:t>
      </w:r>
      <w:r>
        <w:rPr>
          <w:rFonts w:hint="eastAsia"/>
          <w:sz w:val="30"/>
          <w:szCs w:val="30"/>
        </w:rPr>
        <w:t>11</w:t>
      </w:r>
      <w:r>
        <w:rPr>
          <w:rFonts w:hint="eastAsia" w:cs="仿宋_GB2312"/>
          <w:sz w:val="30"/>
          <w:szCs w:val="30"/>
        </w:rPr>
        <w:t>个，单位人员编制</w:t>
      </w:r>
      <w:r>
        <w:rPr>
          <w:rFonts w:hint="eastAsia"/>
          <w:sz w:val="30"/>
          <w:szCs w:val="30"/>
        </w:rPr>
        <w:t>49</w:t>
      </w:r>
      <w:r>
        <w:rPr>
          <w:rFonts w:hint="eastAsia" w:cs="仿宋_GB2312"/>
          <w:sz w:val="30"/>
          <w:szCs w:val="30"/>
        </w:rPr>
        <w:t>人，截止</w:t>
      </w:r>
      <w:r>
        <w:rPr>
          <w:sz w:val="30"/>
          <w:szCs w:val="30"/>
        </w:rPr>
        <w:t>202</w:t>
      </w:r>
      <w:r>
        <w:rPr>
          <w:rFonts w:hint="eastAsia"/>
          <w:sz w:val="30"/>
          <w:szCs w:val="30"/>
        </w:rPr>
        <w:t>2</w:t>
      </w:r>
      <w:r>
        <w:rPr>
          <w:rFonts w:hint="eastAsia" w:cs="仿宋_GB2312"/>
          <w:sz w:val="30"/>
          <w:szCs w:val="30"/>
        </w:rPr>
        <w:t>年</w:t>
      </w:r>
      <w:r>
        <w:rPr>
          <w:sz w:val="30"/>
          <w:szCs w:val="30"/>
        </w:rPr>
        <w:t>12</w:t>
      </w:r>
      <w:r>
        <w:rPr>
          <w:rFonts w:hint="eastAsia" w:cs="仿宋_GB2312"/>
          <w:sz w:val="30"/>
          <w:szCs w:val="30"/>
        </w:rPr>
        <w:t>月份在编在职人员</w:t>
      </w:r>
      <w:r>
        <w:rPr>
          <w:rFonts w:hint="eastAsia"/>
          <w:sz w:val="30"/>
          <w:szCs w:val="30"/>
        </w:rPr>
        <w:t>37</w:t>
      </w:r>
      <w:r>
        <w:rPr>
          <w:rFonts w:hint="eastAsia" w:cs="仿宋_GB2312"/>
          <w:sz w:val="30"/>
          <w:szCs w:val="30"/>
        </w:rPr>
        <w:t>人，离退休人员</w:t>
      </w:r>
      <w:r>
        <w:rPr>
          <w:rFonts w:hint="eastAsia"/>
          <w:sz w:val="30"/>
          <w:szCs w:val="30"/>
        </w:rPr>
        <w:t>30</w:t>
      </w:r>
      <w:r>
        <w:rPr>
          <w:rFonts w:hint="eastAsia" w:cs="仿宋_GB2312"/>
          <w:sz w:val="30"/>
          <w:szCs w:val="30"/>
        </w:rPr>
        <w:t>人。无纳入</w:t>
      </w:r>
      <w:r>
        <w:rPr>
          <w:sz w:val="30"/>
          <w:szCs w:val="30"/>
        </w:rPr>
        <w:t>202</w:t>
      </w:r>
      <w:r>
        <w:rPr>
          <w:rFonts w:hint="eastAsia"/>
          <w:sz w:val="30"/>
          <w:szCs w:val="30"/>
        </w:rPr>
        <w:t>2</w:t>
      </w:r>
      <w:r>
        <w:rPr>
          <w:rFonts w:hint="eastAsia" w:cs="仿宋_GB2312"/>
          <w:sz w:val="30"/>
          <w:szCs w:val="30"/>
        </w:rPr>
        <w:t>年部门整体支出绩效评价范围的二级预算单位。</w:t>
      </w:r>
    </w:p>
    <w:p>
      <w:pPr>
        <w:widowControl/>
        <w:spacing w:line="500" w:lineRule="exact"/>
        <w:ind w:firstLine="640" w:firstLineChars="200"/>
        <w:rPr>
          <w:rFonts w:eastAsia="楷体_GB2312"/>
          <w:sz w:val="32"/>
          <w:szCs w:val="32"/>
        </w:rPr>
      </w:pPr>
      <w:r>
        <w:rPr>
          <w:rFonts w:hint="eastAsia" w:eastAsia="楷体_GB2312" w:cs="楷体_GB2312"/>
          <w:sz w:val="32"/>
          <w:szCs w:val="32"/>
        </w:rPr>
        <w:t>（二）单位主要职责</w:t>
      </w:r>
    </w:p>
    <w:p>
      <w:pPr>
        <w:widowControl/>
        <w:spacing w:line="500" w:lineRule="exact"/>
        <w:ind w:firstLine="640" w:firstLineChars="200"/>
        <w:rPr>
          <w:kern w:val="0"/>
          <w:sz w:val="32"/>
          <w:szCs w:val="32"/>
        </w:rPr>
      </w:pPr>
      <w:r>
        <w:rPr>
          <w:rFonts w:hint="eastAsia"/>
          <w:kern w:val="0"/>
          <w:sz w:val="32"/>
          <w:szCs w:val="32"/>
        </w:rPr>
        <w:t>中共桃源县委办公室（以下简称县委办）是县委的综合部门，为正科级，加挂桃源县档案局牌子，对外使用县委保密委员会办公室（县国家保密局）、县委机要局（县国家密码管理局）、县委台湾工作办公室（县政府台湾事务办公室）、县政府外事办公室、县政府港澳事务办公室名称，县委全面深化改革委员会办公室、县委外事工作委员会办公室设在县委办。县委办的主要职责是：</w:t>
      </w:r>
    </w:p>
    <w:p>
      <w:pPr>
        <w:widowControl/>
        <w:spacing w:line="500" w:lineRule="exact"/>
        <w:rPr>
          <w:kern w:val="0"/>
          <w:sz w:val="32"/>
          <w:szCs w:val="32"/>
        </w:rPr>
      </w:pPr>
      <w:r>
        <w:rPr>
          <w:rFonts w:hint="eastAsia"/>
          <w:kern w:val="0"/>
          <w:sz w:val="32"/>
          <w:szCs w:val="32"/>
        </w:rPr>
        <w:t>（一）负责组织协调县委与县人大、县政府、县政协、县人武部的重大活动。</w:t>
      </w:r>
    </w:p>
    <w:p>
      <w:pPr>
        <w:widowControl/>
        <w:spacing w:line="500" w:lineRule="exact"/>
        <w:rPr>
          <w:kern w:val="0"/>
          <w:sz w:val="32"/>
          <w:szCs w:val="32"/>
        </w:rPr>
      </w:pPr>
      <w:r>
        <w:rPr>
          <w:rFonts w:hint="eastAsia"/>
          <w:kern w:val="0"/>
          <w:sz w:val="32"/>
          <w:szCs w:val="32"/>
        </w:rPr>
        <w:t>（二）负责县委重要会议的会务工作和县委领导同志参加重大活动的组织安排，负责党和国家领导及省市领导来桃视察期间的接待工作。</w:t>
      </w:r>
    </w:p>
    <w:p>
      <w:pPr>
        <w:widowControl/>
        <w:spacing w:line="500" w:lineRule="exact"/>
        <w:rPr>
          <w:kern w:val="0"/>
          <w:sz w:val="32"/>
          <w:szCs w:val="32"/>
        </w:rPr>
      </w:pPr>
      <w:r>
        <w:rPr>
          <w:rFonts w:hint="eastAsia"/>
          <w:kern w:val="0"/>
          <w:sz w:val="32"/>
          <w:szCs w:val="32"/>
        </w:rPr>
        <w:t>（三）负责县委值班工作，及时向县委领导报告重要情况，协助处理各乡镇和县直部门向县委反映的重要问题。</w:t>
      </w:r>
    </w:p>
    <w:p>
      <w:pPr>
        <w:widowControl/>
        <w:spacing w:line="500" w:lineRule="exact"/>
        <w:rPr>
          <w:kern w:val="0"/>
          <w:sz w:val="32"/>
          <w:szCs w:val="32"/>
        </w:rPr>
      </w:pPr>
      <w:r>
        <w:rPr>
          <w:rFonts w:hint="eastAsia"/>
          <w:kern w:val="0"/>
          <w:sz w:val="32"/>
          <w:szCs w:val="32"/>
        </w:rPr>
        <w:t>（四）负责党内法规和规范性文件的审核、备案、清理，协调县委法律顾问服务相关工作。</w:t>
      </w:r>
    </w:p>
    <w:p>
      <w:pPr>
        <w:widowControl/>
        <w:spacing w:line="500" w:lineRule="exact"/>
        <w:rPr>
          <w:kern w:val="0"/>
          <w:sz w:val="32"/>
          <w:szCs w:val="32"/>
        </w:rPr>
      </w:pPr>
      <w:r>
        <w:rPr>
          <w:rFonts w:hint="eastAsia"/>
          <w:kern w:val="0"/>
          <w:sz w:val="32"/>
          <w:szCs w:val="32"/>
        </w:rPr>
        <w:t>（五）负责以县委名义向市委请示报告工作的归口、把关，负责向市委报告本县学习、贯彻、落实上级重大决策部署的情况，负责统筹、指导、督促全县党组织重大事项请示报告工作，受理各乡镇党委、县委各部委办、县直单位党组（党委）向县委的请示报告，提出处理意见报县委领导审批。</w:t>
      </w:r>
    </w:p>
    <w:p>
      <w:pPr>
        <w:widowControl/>
        <w:spacing w:line="500" w:lineRule="exact"/>
        <w:rPr>
          <w:kern w:val="0"/>
          <w:sz w:val="32"/>
          <w:szCs w:val="32"/>
        </w:rPr>
      </w:pPr>
      <w:r>
        <w:rPr>
          <w:rFonts w:hint="eastAsia"/>
          <w:kern w:val="0"/>
          <w:sz w:val="32"/>
          <w:szCs w:val="32"/>
        </w:rPr>
        <w:t>（六）负责县委及县委各部委办年度督查检查考核计划的归口审核和全县性年度督查检查考核计划的统一报批、监督、实施。</w:t>
      </w:r>
    </w:p>
    <w:p>
      <w:pPr>
        <w:widowControl/>
        <w:spacing w:line="500" w:lineRule="exact"/>
        <w:rPr>
          <w:kern w:val="0"/>
          <w:sz w:val="32"/>
          <w:szCs w:val="32"/>
        </w:rPr>
      </w:pPr>
      <w:r>
        <w:rPr>
          <w:rFonts w:hint="eastAsia"/>
          <w:kern w:val="0"/>
          <w:sz w:val="32"/>
          <w:szCs w:val="32"/>
        </w:rPr>
        <w:t>（七）负责中央、省委、市委和县委重大方针政策、重要工作部署和领导重要批示、批件贯彻落实情况的督促检查工作，组织办理人大代表建议、政协委员提案。</w:t>
      </w:r>
    </w:p>
    <w:p>
      <w:pPr>
        <w:widowControl/>
        <w:spacing w:line="500" w:lineRule="exact"/>
        <w:rPr>
          <w:kern w:val="0"/>
          <w:sz w:val="32"/>
          <w:szCs w:val="32"/>
        </w:rPr>
      </w:pPr>
      <w:r>
        <w:rPr>
          <w:rFonts w:hint="eastAsia"/>
          <w:kern w:val="0"/>
          <w:sz w:val="32"/>
          <w:szCs w:val="32"/>
        </w:rPr>
        <w:t>（八）负责开展调研督查活动，提出完善决策、抓好落实的对策措施。</w:t>
      </w:r>
    </w:p>
    <w:p>
      <w:pPr>
        <w:widowControl/>
        <w:spacing w:line="500" w:lineRule="exact"/>
        <w:rPr>
          <w:kern w:val="0"/>
          <w:sz w:val="32"/>
          <w:szCs w:val="32"/>
        </w:rPr>
      </w:pPr>
      <w:r>
        <w:rPr>
          <w:rFonts w:hint="eastAsia"/>
          <w:kern w:val="0"/>
          <w:sz w:val="32"/>
          <w:szCs w:val="32"/>
        </w:rPr>
        <w:t>（九）负责县委、县委办文件和县委领导文稿的起草、校核、印发工作。</w:t>
      </w:r>
    </w:p>
    <w:p>
      <w:pPr>
        <w:widowControl/>
        <w:spacing w:line="500" w:lineRule="exact"/>
        <w:rPr>
          <w:kern w:val="0"/>
          <w:sz w:val="32"/>
          <w:szCs w:val="32"/>
        </w:rPr>
      </w:pPr>
      <w:r>
        <w:rPr>
          <w:rFonts w:hint="eastAsia"/>
          <w:kern w:val="0"/>
          <w:sz w:val="32"/>
          <w:szCs w:val="32"/>
        </w:rPr>
        <w:t>（十）负责上级、本级文件和党、政、军领导机关机要件的传阅、传递和分发工作。</w:t>
      </w:r>
    </w:p>
    <w:p>
      <w:pPr>
        <w:widowControl/>
        <w:spacing w:line="500" w:lineRule="exact"/>
        <w:rPr>
          <w:kern w:val="0"/>
          <w:sz w:val="32"/>
          <w:szCs w:val="32"/>
        </w:rPr>
      </w:pPr>
      <w:r>
        <w:rPr>
          <w:rFonts w:hint="eastAsia"/>
          <w:kern w:val="0"/>
          <w:sz w:val="32"/>
          <w:szCs w:val="32"/>
        </w:rPr>
        <w:t>（十一）负责县委工作机关及县直副科级以上单位党组织印章制发的规格、式样把关工作。</w:t>
      </w:r>
    </w:p>
    <w:p>
      <w:pPr>
        <w:widowControl/>
        <w:spacing w:line="500" w:lineRule="exact"/>
        <w:rPr>
          <w:kern w:val="0"/>
          <w:sz w:val="32"/>
          <w:szCs w:val="32"/>
        </w:rPr>
      </w:pPr>
      <w:r>
        <w:rPr>
          <w:rFonts w:hint="eastAsia"/>
          <w:kern w:val="0"/>
          <w:sz w:val="32"/>
          <w:szCs w:val="32"/>
        </w:rPr>
        <w:t>（十二）围绕县委工作部署，对涉及全县经济建设、政治建设、文化建设、社会建设、生态文明建设和党的建设等全局性的重大问题进行调查研究，为县委科学决策提出建议、预案和依据。</w:t>
      </w:r>
    </w:p>
    <w:p>
      <w:pPr>
        <w:widowControl/>
        <w:spacing w:line="500" w:lineRule="exact"/>
        <w:rPr>
          <w:kern w:val="0"/>
          <w:sz w:val="32"/>
          <w:szCs w:val="32"/>
        </w:rPr>
      </w:pPr>
      <w:r>
        <w:rPr>
          <w:rFonts w:hint="eastAsia"/>
          <w:kern w:val="0"/>
          <w:sz w:val="32"/>
          <w:szCs w:val="32"/>
        </w:rPr>
        <w:t>（十三）及时、准确、全面地向中央、省委、市委、县委报送信息，反映有关动态。</w:t>
      </w:r>
    </w:p>
    <w:p>
      <w:pPr>
        <w:widowControl/>
        <w:spacing w:line="500" w:lineRule="exact"/>
        <w:rPr>
          <w:kern w:val="0"/>
          <w:sz w:val="32"/>
          <w:szCs w:val="32"/>
        </w:rPr>
      </w:pPr>
      <w:r>
        <w:rPr>
          <w:rFonts w:hint="eastAsia"/>
          <w:kern w:val="0"/>
          <w:sz w:val="32"/>
          <w:szCs w:val="32"/>
        </w:rPr>
        <w:t>（十四）负责全县党委办公室系统业务培训、业务指导和业务考评。</w:t>
      </w:r>
    </w:p>
    <w:p>
      <w:pPr>
        <w:widowControl/>
        <w:spacing w:line="500" w:lineRule="exact"/>
        <w:rPr>
          <w:kern w:val="0"/>
          <w:sz w:val="32"/>
          <w:szCs w:val="32"/>
        </w:rPr>
      </w:pPr>
      <w:r>
        <w:rPr>
          <w:rFonts w:hint="eastAsia"/>
          <w:kern w:val="0"/>
          <w:sz w:val="32"/>
          <w:szCs w:val="32"/>
        </w:rPr>
        <w:t>（十五）负责组织实施全县绩效评估工作。</w:t>
      </w:r>
    </w:p>
    <w:p>
      <w:pPr>
        <w:widowControl/>
        <w:spacing w:line="500" w:lineRule="exact"/>
        <w:rPr>
          <w:kern w:val="0"/>
          <w:sz w:val="32"/>
          <w:szCs w:val="32"/>
        </w:rPr>
      </w:pPr>
      <w:r>
        <w:rPr>
          <w:rFonts w:hint="eastAsia"/>
          <w:kern w:val="0"/>
          <w:sz w:val="32"/>
          <w:szCs w:val="32"/>
        </w:rPr>
        <w:t>（十六）负责全县党政系统密码通信和密码管理。</w:t>
      </w:r>
    </w:p>
    <w:p>
      <w:pPr>
        <w:widowControl/>
        <w:spacing w:line="500" w:lineRule="exact"/>
        <w:rPr>
          <w:kern w:val="0"/>
          <w:sz w:val="32"/>
          <w:szCs w:val="32"/>
        </w:rPr>
      </w:pPr>
      <w:r>
        <w:rPr>
          <w:rFonts w:hint="eastAsia"/>
          <w:kern w:val="0"/>
          <w:sz w:val="32"/>
          <w:szCs w:val="32"/>
        </w:rPr>
        <w:t>（十七）负责全县电子政务内网、党委系统信息化、党政专用通信网规划、建设和管理；负责全县电子文件管理工作，做好党政机关办公自动化网络建设、电子公文系统安全可靠应用推进、县直单位信息化建设项目前置审查工作。</w:t>
      </w:r>
    </w:p>
    <w:p>
      <w:pPr>
        <w:widowControl/>
        <w:spacing w:line="500" w:lineRule="exact"/>
        <w:rPr>
          <w:kern w:val="0"/>
          <w:sz w:val="32"/>
          <w:szCs w:val="32"/>
        </w:rPr>
      </w:pPr>
      <w:r>
        <w:rPr>
          <w:rFonts w:hint="eastAsia"/>
          <w:kern w:val="0"/>
          <w:sz w:val="32"/>
          <w:szCs w:val="32"/>
        </w:rPr>
        <w:t>（十八）负责贯彻执行党和国家对台方针政策和各项涉台法律法规；会同有关部门研究、拟订涉台工作措施办法；组织、指导、管理、检查、协调全县涉台工作，处理重大涉台事项；归口管理和指导涉台宣传、联络、交流和合作。</w:t>
      </w:r>
    </w:p>
    <w:p>
      <w:pPr>
        <w:widowControl/>
        <w:spacing w:line="500" w:lineRule="exact"/>
        <w:rPr>
          <w:kern w:val="0"/>
          <w:sz w:val="32"/>
          <w:szCs w:val="32"/>
        </w:rPr>
      </w:pPr>
      <w:r>
        <w:rPr>
          <w:rFonts w:hint="eastAsia"/>
          <w:kern w:val="0"/>
          <w:sz w:val="32"/>
          <w:szCs w:val="32"/>
        </w:rPr>
        <w:t>（十九）负责贯彻执行上级关于外事、港澳工作的方针政策和法律法规；拟订全县外事、港澳工作发展规划和措施办法并组织实施；归口管理全县因公出国（境）工作。</w:t>
      </w:r>
    </w:p>
    <w:p>
      <w:pPr>
        <w:widowControl/>
        <w:spacing w:line="500" w:lineRule="exact"/>
        <w:rPr>
          <w:kern w:val="0"/>
          <w:sz w:val="32"/>
          <w:szCs w:val="32"/>
        </w:rPr>
      </w:pPr>
      <w:r>
        <w:rPr>
          <w:rFonts w:hint="eastAsia"/>
          <w:kern w:val="0"/>
          <w:sz w:val="32"/>
          <w:szCs w:val="32"/>
        </w:rPr>
        <w:t>（二十）负责全县档案事业的发展规划、组织协调，负责全县档案工作的监督和指导，负责全县档案法律法规的宣传教育以及依法查处档案违法行为。</w:t>
      </w:r>
    </w:p>
    <w:p>
      <w:pPr>
        <w:widowControl/>
        <w:spacing w:line="500" w:lineRule="exact"/>
        <w:rPr>
          <w:kern w:val="0"/>
          <w:sz w:val="32"/>
          <w:szCs w:val="32"/>
        </w:rPr>
      </w:pPr>
      <w:r>
        <w:rPr>
          <w:rFonts w:hint="eastAsia"/>
          <w:kern w:val="0"/>
          <w:sz w:val="32"/>
          <w:szCs w:val="32"/>
        </w:rPr>
        <w:t>（二十一）负责县委机关行政后勤管理、安全保卫及本办的财务管理工作。</w:t>
      </w:r>
    </w:p>
    <w:p>
      <w:pPr>
        <w:widowControl/>
        <w:spacing w:line="500" w:lineRule="exact"/>
        <w:rPr>
          <w:kern w:val="0"/>
          <w:sz w:val="32"/>
          <w:szCs w:val="32"/>
        </w:rPr>
      </w:pPr>
      <w:r>
        <w:rPr>
          <w:rFonts w:hint="eastAsia"/>
          <w:kern w:val="0"/>
          <w:sz w:val="32"/>
          <w:szCs w:val="32"/>
        </w:rPr>
        <w:t>（二十二）负责完成县委和县委领导交办的其他事项。</w:t>
      </w:r>
    </w:p>
    <w:p>
      <w:pPr>
        <w:widowControl/>
        <w:spacing w:line="500" w:lineRule="exact"/>
        <w:ind w:firstLine="640" w:firstLineChars="200"/>
        <w:rPr>
          <w:rFonts w:eastAsia="楷体_GB2312"/>
          <w:sz w:val="32"/>
          <w:szCs w:val="32"/>
        </w:rPr>
      </w:pPr>
      <w:r>
        <w:rPr>
          <w:rFonts w:hint="eastAsia" w:eastAsia="楷体_GB2312" w:cs="楷体_GB2312"/>
          <w:sz w:val="32"/>
          <w:szCs w:val="32"/>
        </w:rPr>
        <w:t>（三）部门财务情况</w:t>
      </w:r>
    </w:p>
    <w:p>
      <w:pPr>
        <w:widowControl/>
        <w:spacing w:line="500" w:lineRule="exact"/>
        <w:ind w:firstLine="600" w:firstLineChars="200"/>
        <w:rPr>
          <w:sz w:val="30"/>
          <w:szCs w:val="30"/>
        </w:rPr>
      </w:pPr>
      <w:r>
        <w:rPr>
          <w:sz w:val="30"/>
          <w:szCs w:val="30"/>
        </w:rPr>
        <w:t xml:space="preserve">1. </w:t>
      </w:r>
      <w:r>
        <w:rPr>
          <w:rFonts w:hint="eastAsia" w:cs="仿宋_GB2312"/>
          <w:sz w:val="30"/>
          <w:szCs w:val="30"/>
        </w:rPr>
        <w:t>资产负债及净资产情况</w:t>
      </w:r>
    </w:p>
    <w:p>
      <w:pPr>
        <w:widowControl/>
        <w:spacing w:line="500" w:lineRule="exact"/>
        <w:ind w:firstLine="600" w:firstLineChars="200"/>
        <w:rPr>
          <w:sz w:val="30"/>
          <w:szCs w:val="30"/>
        </w:rPr>
      </w:pPr>
      <w:r>
        <w:rPr>
          <w:sz w:val="30"/>
          <w:szCs w:val="30"/>
        </w:rPr>
        <w:t>202</w:t>
      </w:r>
      <w:r>
        <w:rPr>
          <w:rFonts w:hint="eastAsia"/>
          <w:sz w:val="30"/>
          <w:szCs w:val="30"/>
        </w:rPr>
        <w:t>2</w:t>
      </w:r>
      <w:r>
        <w:rPr>
          <w:rFonts w:hint="eastAsia" w:cs="仿宋_GB2312"/>
          <w:sz w:val="30"/>
          <w:szCs w:val="30"/>
        </w:rPr>
        <w:t>年</w:t>
      </w:r>
      <w:r>
        <w:rPr>
          <w:sz w:val="30"/>
          <w:szCs w:val="30"/>
        </w:rPr>
        <w:t>12</w:t>
      </w:r>
      <w:r>
        <w:rPr>
          <w:rFonts w:hint="eastAsia" w:cs="仿宋_GB2312"/>
          <w:sz w:val="30"/>
          <w:szCs w:val="30"/>
        </w:rPr>
        <w:t>月</w:t>
      </w:r>
      <w:r>
        <w:rPr>
          <w:sz w:val="30"/>
          <w:szCs w:val="30"/>
        </w:rPr>
        <w:t>31</w:t>
      </w:r>
      <w:r>
        <w:rPr>
          <w:rFonts w:hint="eastAsia" w:cs="仿宋_GB2312"/>
          <w:sz w:val="30"/>
          <w:szCs w:val="30"/>
        </w:rPr>
        <w:t>日单位资产总额（不含所属二级预算单位）</w:t>
      </w:r>
      <w:r>
        <w:rPr>
          <w:rFonts w:hint="eastAsia"/>
          <w:color w:val="000000"/>
          <w:sz w:val="32"/>
          <w:szCs w:val="32"/>
        </w:rPr>
        <w:t>640.18</w:t>
      </w:r>
      <w:r>
        <w:rPr>
          <w:rFonts w:hint="eastAsia" w:cs="仿宋_GB2312"/>
          <w:sz w:val="30"/>
          <w:szCs w:val="30"/>
        </w:rPr>
        <w:t>万元，其中：流动资产</w:t>
      </w:r>
      <w:r>
        <w:rPr>
          <w:rFonts w:hint="eastAsia"/>
          <w:color w:val="000000"/>
          <w:sz w:val="32"/>
          <w:szCs w:val="32"/>
        </w:rPr>
        <w:t>85.38</w:t>
      </w:r>
      <w:r>
        <w:rPr>
          <w:rFonts w:hint="eastAsia" w:cs="仿宋_GB2312"/>
          <w:sz w:val="30"/>
          <w:szCs w:val="30"/>
        </w:rPr>
        <w:t>万元、非流动资产</w:t>
      </w:r>
      <w:r>
        <w:rPr>
          <w:rFonts w:hint="eastAsia"/>
          <w:color w:val="000000"/>
          <w:sz w:val="32"/>
          <w:szCs w:val="32"/>
        </w:rPr>
        <w:t>554.80</w:t>
      </w:r>
      <w:r>
        <w:rPr>
          <w:rFonts w:hint="eastAsia" w:cs="仿宋_GB2312"/>
          <w:sz w:val="30"/>
          <w:szCs w:val="30"/>
        </w:rPr>
        <w:t>万元，负债总额</w:t>
      </w:r>
      <w:r>
        <w:rPr>
          <w:rFonts w:hint="eastAsia"/>
          <w:color w:val="000000"/>
          <w:sz w:val="32"/>
          <w:szCs w:val="32"/>
        </w:rPr>
        <w:t>310.1</w:t>
      </w:r>
      <w:r>
        <w:rPr>
          <w:rFonts w:hint="eastAsia" w:cs="仿宋_GB2312"/>
          <w:sz w:val="30"/>
          <w:szCs w:val="30"/>
        </w:rPr>
        <w:t>万元，净资产总额</w:t>
      </w:r>
      <w:r>
        <w:rPr>
          <w:rFonts w:hint="eastAsia"/>
          <w:color w:val="000000"/>
          <w:sz w:val="32"/>
          <w:szCs w:val="32"/>
        </w:rPr>
        <w:t>330.08</w:t>
      </w:r>
      <w:r>
        <w:rPr>
          <w:rFonts w:hint="eastAsia" w:cs="仿宋_GB2312"/>
          <w:sz w:val="30"/>
          <w:szCs w:val="30"/>
        </w:rPr>
        <w:t>万元。</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部门整体收支情况</w:t>
      </w:r>
    </w:p>
    <w:p>
      <w:pPr>
        <w:widowControl/>
        <w:spacing w:line="500" w:lineRule="exact"/>
        <w:ind w:firstLine="600" w:firstLineChars="200"/>
        <w:rPr>
          <w:sz w:val="30"/>
          <w:szCs w:val="30"/>
        </w:rPr>
      </w:pPr>
      <w:r>
        <w:rPr>
          <w:sz w:val="30"/>
          <w:szCs w:val="30"/>
        </w:rPr>
        <w:t>202</w:t>
      </w:r>
      <w:r>
        <w:rPr>
          <w:rFonts w:hint="eastAsia"/>
          <w:sz w:val="30"/>
          <w:szCs w:val="30"/>
        </w:rPr>
        <w:t>2</w:t>
      </w:r>
      <w:r>
        <w:rPr>
          <w:rFonts w:hint="eastAsia" w:cs="仿宋_GB2312"/>
          <w:sz w:val="30"/>
          <w:szCs w:val="30"/>
        </w:rPr>
        <w:t>年部门年初预算收入（不含所属二级预算单位）</w:t>
      </w:r>
      <w:r>
        <w:rPr>
          <w:rFonts w:hint="eastAsia"/>
          <w:sz w:val="30"/>
          <w:szCs w:val="30"/>
        </w:rPr>
        <w:t>1237.65</w:t>
      </w:r>
      <w:r>
        <w:rPr>
          <w:rFonts w:hint="eastAsia" w:cs="仿宋_GB2312"/>
          <w:sz w:val="30"/>
          <w:szCs w:val="30"/>
        </w:rPr>
        <w:t>万元，年内调整预算</w:t>
      </w:r>
      <w:r>
        <w:rPr>
          <w:rFonts w:hint="eastAsia" w:cs="仿宋_GB2312"/>
          <w:color w:val="auto"/>
          <w:sz w:val="30"/>
          <w:szCs w:val="30"/>
        </w:rPr>
        <w:t>-</w:t>
      </w:r>
      <w:r>
        <w:rPr>
          <w:color w:val="auto"/>
          <w:sz w:val="30"/>
          <w:szCs w:val="30"/>
        </w:rPr>
        <w:t>288.74</w:t>
      </w:r>
      <w:r>
        <w:rPr>
          <w:rFonts w:hint="eastAsia" w:cs="仿宋_GB2312"/>
          <w:color w:val="auto"/>
          <w:sz w:val="30"/>
          <w:szCs w:val="30"/>
        </w:rPr>
        <w:t>万元，决算收入</w:t>
      </w:r>
      <w:r>
        <w:rPr>
          <w:rFonts w:hint="eastAsia"/>
          <w:color w:val="auto"/>
          <w:sz w:val="30"/>
          <w:szCs w:val="30"/>
        </w:rPr>
        <w:t>948.91</w:t>
      </w:r>
      <w:r>
        <w:rPr>
          <w:rFonts w:hint="eastAsia" w:cs="仿宋_GB2312"/>
          <w:color w:val="auto"/>
          <w:sz w:val="30"/>
          <w:szCs w:val="30"/>
        </w:rPr>
        <w:t>万元，其中：一般公共预算拨款642.19万元，纳入专户管理的非税收入拨款</w:t>
      </w:r>
      <w:r>
        <w:rPr>
          <w:rFonts w:hint="eastAsia"/>
          <w:color w:val="auto"/>
          <w:sz w:val="30"/>
          <w:szCs w:val="30"/>
        </w:rPr>
        <w:t>0</w:t>
      </w:r>
      <w:r>
        <w:rPr>
          <w:rFonts w:hint="eastAsia" w:cs="仿宋_GB2312"/>
          <w:color w:val="auto"/>
          <w:sz w:val="30"/>
          <w:szCs w:val="30"/>
        </w:rPr>
        <w:t>万元，其他资金</w:t>
      </w:r>
      <w:r>
        <w:rPr>
          <w:rFonts w:hint="eastAsia"/>
          <w:color w:val="auto"/>
          <w:sz w:val="30"/>
          <w:szCs w:val="30"/>
        </w:rPr>
        <w:t>595.46</w:t>
      </w:r>
      <w:r>
        <w:rPr>
          <w:rFonts w:hint="eastAsia" w:cs="仿宋_GB2312"/>
          <w:color w:val="auto"/>
          <w:sz w:val="30"/>
          <w:szCs w:val="30"/>
        </w:rPr>
        <w:t>万元。上年结转</w:t>
      </w:r>
      <w:r>
        <w:rPr>
          <w:rFonts w:hint="eastAsia"/>
          <w:color w:val="auto"/>
          <w:sz w:val="30"/>
          <w:szCs w:val="30"/>
        </w:rPr>
        <w:t>23.96</w:t>
      </w:r>
      <w:r>
        <w:rPr>
          <w:rFonts w:hint="eastAsia" w:cs="仿宋_GB2312"/>
          <w:color w:val="auto"/>
          <w:sz w:val="30"/>
          <w:szCs w:val="30"/>
        </w:rPr>
        <w:t>万元，其中：一般公共预算拨款</w:t>
      </w:r>
      <w:r>
        <w:rPr>
          <w:rFonts w:hint="eastAsia"/>
          <w:color w:val="auto"/>
          <w:sz w:val="30"/>
          <w:szCs w:val="30"/>
        </w:rPr>
        <w:t>23.96</w:t>
      </w:r>
      <w:r>
        <w:rPr>
          <w:rFonts w:hint="eastAsia" w:cs="仿宋_GB2312"/>
          <w:color w:val="auto"/>
          <w:sz w:val="30"/>
          <w:szCs w:val="30"/>
        </w:rPr>
        <w:t>万元，纳入专户管理的非税收入拨款</w:t>
      </w:r>
      <w:r>
        <w:rPr>
          <w:rFonts w:hint="eastAsia"/>
          <w:color w:val="auto"/>
          <w:sz w:val="30"/>
          <w:szCs w:val="30"/>
        </w:rPr>
        <w:t>0</w:t>
      </w:r>
      <w:r>
        <w:rPr>
          <w:rFonts w:hint="eastAsia" w:cs="仿宋_GB2312"/>
          <w:color w:val="auto"/>
          <w:sz w:val="30"/>
          <w:szCs w:val="30"/>
        </w:rPr>
        <w:t>万元。全年可执行预算合计</w:t>
      </w:r>
      <w:r>
        <w:rPr>
          <w:rFonts w:hint="eastAsia"/>
          <w:color w:val="auto"/>
          <w:sz w:val="30"/>
          <w:szCs w:val="30"/>
        </w:rPr>
        <w:t>948.91</w:t>
      </w:r>
      <w:r>
        <w:rPr>
          <w:rFonts w:hint="eastAsia" w:cs="仿宋_GB2312"/>
          <w:color w:val="auto"/>
          <w:sz w:val="30"/>
          <w:szCs w:val="30"/>
        </w:rPr>
        <w:t>万</w:t>
      </w:r>
      <w:r>
        <w:rPr>
          <w:rFonts w:hint="eastAsia" w:cs="仿宋_GB2312"/>
          <w:sz w:val="30"/>
          <w:szCs w:val="30"/>
        </w:rPr>
        <w:t>元。</w:t>
      </w:r>
    </w:p>
    <w:p>
      <w:pPr>
        <w:widowControl/>
        <w:spacing w:line="500" w:lineRule="exact"/>
        <w:ind w:firstLine="600" w:firstLineChars="200"/>
        <w:rPr>
          <w:sz w:val="30"/>
          <w:szCs w:val="30"/>
        </w:rPr>
      </w:pPr>
      <w:r>
        <w:rPr>
          <w:sz w:val="30"/>
          <w:szCs w:val="30"/>
        </w:rPr>
        <w:t>202</w:t>
      </w:r>
      <w:r>
        <w:rPr>
          <w:rFonts w:hint="eastAsia"/>
          <w:sz w:val="30"/>
          <w:szCs w:val="30"/>
        </w:rPr>
        <w:t>2</w:t>
      </w:r>
      <w:r>
        <w:rPr>
          <w:rFonts w:hint="eastAsia" w:cs="仿宋_GB2312"/>
          <w:sz w:val="30"/>
          <w:szCs w:val="30"/>
        </w:rPr>
        <w:t>年部门年初预算支出（不含所属二级预算单位）</w:t>
      </w:r>
      <w:r>
        <w:rPr>
          <w:rFonts w:hint="eastAsia"/>
          <w:sz w:val="30"/>
          <w:szCs w:val="30"/>
        </w:rPr>
        <w:t>1237.65</w:t>
      </w:r>
      <w:r>
        <w:rPr>
          <w:rFonts w:hint="eastAsia" w:cs="仿宋_GB2312"/>
          <w:sz w:val="30"/>
          <w:szCs w:val="30"/>
        </w:rPr>
        <w:t>万元，其中：基本支出</w:t>
      </w:r>
      <w:r>
        <w:rPr>
          <w:rFonts w:hint="eastAsia"/>
          <w:sz w:val="30"/>
          <w:szCs w:val="30"/>
        </w:rPr>
        <w:t>878.65</w:t>
      </w:r>
      <w:r>
        <w:rPr>
          <w:rFonts w:hint="eastAsia" w:cs="仿宋_GB2312"/>
          <w:sz w:val="30"/>
          <w:szCs w:val="30"/>
        </w:rPr>
        <w:t>万元，项目支出</w:t>
      </w:r>
      <w:r>
        <w:rPr>
          <w:rFonts w:hint="eastAsia"/>
          <w:sz w:val="30"/>
          <w:szCs w:val="30"/>
        </w:rPr>
        <w:t>359</w:t>
      </w:r>
      <w:r>
        <w:rPr>
          <w:rFonts w:hint="eastAsia" w:cs="仿宋_GB2312"/>
          <w:sz w:val="30"/>
          <w:szCs w:val="30"/>
        </w:rPr>
        <w:t>万元。部门决算支出</w:t>
      </w:r>
      <w:r>
        <w:rPr>
          <w:rFonts w:hint="eastAsia"/>
          <w:sz w:val="30"/>
          <w:szCs w:val="30"/>
        </w:rPr>
        <w:t>948.91</w:t>
      </w:r>
      <w:r>
        <w:rPr>
          <w:rFonts w:hint="eastAsia" w:cs="仿宋_GB2312"/>
          <w:sz w:val="30"/>
          <w:szCs w:val="30"/>
        </w:rPr>
        <w:t>万元，其中：基本支出</w:t>
      </w:r>
      <w:r>
        <w:rPr>
          <w:rFonts w:hint="eastAsia"/>
          <w:sz w:val="30"/>
          <w:szCs w:val="30"/>
        </w:rPr>
        <w:t>677.05</w:t>
      </w:r>
      <w:r>
        <w:rPr>
          <w:rFonts w:hint="eastAsia" w:cs="仿宋_GB2312"/>
          <w:sz w:val="30"/>
          <w:szCs w:val="30"/>
        </w:rPr>
        <w:t>万元，项目支出</w:t>
      </w:r>
      <w:r>
        <w:rPr>
          <w:rFonts w:hint="eastAsia"/>
          <w:sz w:val="30"/>
          <w:szCs w:val="30"/>
        </w:rPr>
        <w:t>271.87</w:t>
      </w:r>
      <w:r>
        <w:rPr>
          <w:rFonts w:hint="eastAsia" w:cs="仿宋_GB2312"/>
          <w:sz w:val="30"/>
          <w:szCs w:val="30"/>
        </w:rPr>
        <w:t>万元。</w:t>
      </w:r>
    </w:p>
    <w:p>
      <w:pPr>
        <w:widowControl/>
        <w:spacing w:line="500" w:lineRule="exact"/>
        <w:ind w:firstLine="600" w:firstLineChars="200"/>
        <w:rPr>
          <w:sz w:val="30"/>
          <w:szCs w:val="30"/>
        </w:rPr>
      </w:pPr>
      <w:r>
        <w:rPr>
          <w:rFonts w:hint="eastAsia" w:cs="仿宋_GB2312"/>
          <w:sz w:val="30"/>
          <w:szCs w:val="30"/>
        </w:rPr>
        <w:t>年末结转结余</w:t>
      </w:r>
      <w:r>
        <w:rPr>
          <w:rFonts w:hint="eastAsia"/>
          <w:sz w:val="30"/>
          <w:szCs w:val="30"/>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（四）部门绩效目标</w:t>
      </w:r>
    </w:p>
    <w:p>
      <w:pPr>
        <w:widowControl/>
        <w:spacing w:line="500" w:lineRule="exact"/>
        <w:ind w:firstLine="600" w:firstLineChars="200"/>
        <w:rPr>
          <w:sz w:val="30"/>
          <w:szCs w:val="30"/>
        </w:rPr>
      </w:pPr>
      <w:r>
        <w:rPr>
          <w:sz w:val="30"/>
          <w:szCs w:val="30"/>
        </w:rPr>
        <w:t xml:space="preserve">1. </w:t>
      </w:r>
      <w:r>
        <w:rPr>
          <w:rFonts w:hint="eastAsia" w:cs="仿宋_GB2312"/>
          <w:sz w:val="30"/>
          <w:szCs w:val="30"/>
        </w:rPr>
        <w:t>部门绩效总目标</w:t>
      </w:r>
    </w:p>
    <w:p>
      <w:pPr>
        <w:widowControl/>
        <w:spacing w:line="500" w:lineRule="exact"/>
        <w:ind w:firstLine="640" w:firstLineChars="200"/>
        <w:rPr>
          <w:sz w:val="30"/>
          <w:szCs w:val="30"/>
        </w:rPr>
      </w:pPr>
      <w:r>
        <w:rPr>
          <w:rFonts w:hint="eastAsia"/>
          <w:kern w:val="0"/>
          <w:sz w:val="32"/>
          <w:szCs w:val="32"/>
        </w:rPr>
        <w:t>办公室各项工作走在全市乃至全省前列、各项服务水平不断提升，实现“全市拿先进、全县争优秀”目标。</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w:t>
      </w:r>
      <w:r>
        <w:rPr>
          <w:sz w:val="30"/>
          <w:szCs w:val="30"/>
        </w:rPr>
        <w:t>202</w:t>
      </w:r>
      <w:r>
        <w:rPr>
          <w:rFonts w:hint="eastAsia"/>
          <w:sz w:val="30"/>
          <w:szCs w:val="30"/>
        </w:rPr>
        <w:t>2</w:t>
      </w:r>
      <w:r>
        <w:rPr>
          <w:rFonts w:hint="eastAsia" w:cs="仿宋_GB2312"/>
          <w:sz w:val="30"/>
          <w:szCs w:val="30"/>
        </w:rPr>
        <w:t>年度绩效目标</w:t>
      </w:r>
    </w:p>
    <w:p>
      <w:pPr>
        <w:widowControl/>
        <w:spacing w:line="500" w:lineRule="exact"/>
        <w:ind w:firstLine="600" w:firstLineChars="200"/>
        <w:rPr>
          <w:sz w:val="30"/>
          <w:szCs w:val="30"/>
        </w:rPr>
      </w:pPr>
      <w:r>
        <w:rPr>
          <w:rFonts w:hint="eastAsia" w:cs="仿宋_GB2312"/>
          <w:sz w:val="30"/>
          <w:szCs w:val="30"/>
        </w:rPr>
        <w:t>（</w:t>
      </w:r>
      <w:r>
        <w:rPr>
          <w:sz w:val="30"/>
          <w:szCs w:val="30"/>
        </w:rPr>
        <w:t>1</w:t>
      </w:r>
      <w:r>
        <w:rPr>
          <w:rFonts w:hint="eastAsia" w:cs="仿宋_GB2312"/>
          <w:sz w:val="30"/>
          <w:szCs w:val="30"/>
        </w:rPr>
        <w:t>）产出指标</w:t>
      </w:r>
    </w:p>
    <w:p>
      <w:pPr>
        <w:widowControl/>
        <w:spacing w:line="500" w:lineRule="exact"/>
        <w:ind w:firstLine="600" w:firstLineChars="200"/>
        <w:rPr>
          <w:sz w:val="30"/>
          <w:szCs w:val="30"/>
        </w:rPr>
      </w:pPr>
      <w:r>
        <w:rPr>
          <w:rFonts w:hint="eastAsia" w:cs="仿宋_GB2312"/>
          <w:sz w:val="30"/>
          <w:szCs w:val="30"/>
        </w:rPr>
        <w:t>①数量指标。</w:t>
      </w:r>
      <w:r>
        <w:rPr>
          <w:rFonts w:hint="eastAsia"/>
          <w:sz w:val="32"/>
          <w:szCs w:val="32"/>
        </w:rPr>
        <w:t>组织开展文明创建活动5次</w:t>
      </w:r>
      <w:r>
        <w:rPr>
          <w:rFonts w:hint="eastAsia"/>
          <w:sz w:val="32"/>
          <w:szCs w:val="32"/>
          <w:lang w:val="en-US" w:eastAsia="zh-CN"/>
        </w:rPr>
        <w:t>及以上</w:t>
      </w:r>
      <w:r>
        <w:rPr>
          <w:sz w:val="32"/>
          <w:szCs w:val="32"/>
        </w:rPr>
        <w:t>。</w:t>
      </w:r>
      <w:r>
        <w:rPr>
          <w:rFonts w:hint="eastAsia"/>
          <w:sz w:val="32"/>
          <w:szCs w:val="32"/>
        </w:rPr>
        <w:t>主题调研活动</w:t>
      </w:r>
      <w:r>
        <w:rPr>
          <w:rFonts w:hint="eastAsia"/>
          <w:sz w:val="32"/>
          <w:szCs w:val="32"/>
          <w:lang w:val="en-US" w:eastAsia="zh-CN"/>
        </w:rPr>
        <w:t>3</w:t>
      </w:r>
      <w:r>
        <w:rPr>
          <w:rFonts w:hint="eastAsia"/>
          <w:sz w:val="32"/>
          <w:szCs w:val="32"/>
        </w:rPr>
        <w:t>次</w:t>
      </w:r>
      <w:r>
        <w:rPr>
          <w:rFonts w:hint="eastAsia"/>
          <w:sz w:val="32"/>
          <w:szCs w:val="32"/>
          <w:lang w:val="en-US" w:eastAsia="zh-CN"/>
        </w:rPr>
        <w:t>及以上</w:t>
      </w:r>
      <w:r>
        <w:rPr>
          <w:rFonts w:hint="eastAsia"/>
          <w:sz w:val="32"/>
          <w:szCs w:val="32"/>
        </w:rPr>
        <w:t>。举行大型会议3次</w:t>
      </w:r>
      <w:r>
        <w:rPr>
          <w:rFonts w:hint="eastAsia"/>
          <w:sz w:val="32"/>
          <w:szCs w:val="32"/>
          <w:lang w:val="en-US" w:eastAsia="zh-CN"/>
        </w:rPr>
        <w:t>及以上</w:t>
      </w:r>
      <w:r>
        <w:rPr>
          <w:rFonts w:hint="eastAsia"/>
          <w:sz w:val="32"/>
          <w:szCs w:val="32"/>
        </w:rPr>
        <w:t>。举行小型会议</w:t>
      </w:r>
      <w:r>
        <w:rPr>
          <w:rFonts w:hint="eastAsia"/>
          <w:sz w:val="32"/>
          <w:szCs w:val="32"/>
          <w:lang w:val="en-US" w:eastAsia="zh-CN"/>
        </w:rPr>
        <w:t>95次及以上</w:t>
      </w:r>
      <w:r>
        <w:rPr>
          <w:rFonts w:hint="eastAsia"/>
          <w:sz w:val="32"/>
          <w:szCs w:val="32"/>
        </w:rPr>
        <w:t>。进行常规督查15次</w:t>
      </w:r>
      <w:r>
        <w:rPr>
          <w:rFonts w:hint="eastAsia"/>
          <w:sz w:val="32"/>
          <w:szCs w:val="32"/>
          <w:lang w:val="en-US" w:eastAsia="zh-CN"/>
        </w:rPr>
        <w:t>及以上</w:t>
      </w:r>
      <w:r>
        <w:rPr>
          <w:rFonts w:hint="eastAsia"/>
          <w:sz w:val="32"/>
          <w:szCs w:val="32"/>
        </w:rPr>
        <w:t>。进行专项督查</w:t>
      </w:r>
      <w:r>
        <w:rPr>
          <w:rFonts w:hint="eastAsia"/>
          <w:sz w:val="32"/>
          <w:szCs w:val="32"/>
          <w:lang w:val="en-US" w:eastAsia="zh-CN"/>
        </w:rPr>
        <w:t>1</w:t>
      </w:r>
      <w:r>
        <w:rPr>
          <w:rFonts w:hint="eastAsia"/>
          <w:sz w:val="32"/>
          <w:szCs w:val="32"/>
        </w:rPr>
        <w:t>次</w:t>
      </w:r>
      <w:r>
        <w:rPr>
          <w:rFonts w:hint="eastAsia"/>
          <w:sz w:val="32"/>
          <w:szCs w:val="32"/>
          <w:lang w:val="en-US" w:eastAsia="zh-CN"/>
        </w:rPr>
        <w:t>及以上</w:t>
      </w:r>
      <w:r>
        <w:rPr>
          <w:rFonts w:hint="eastAsia"/>
          <w:sz w:val="32"/>
          <w:szCs w:val="32"/>
        </w:rPr>
        <w:t>。核心刊物投稿</w:t>
      </w:r>
      <w:r>
        <w:rPr>
          <w:rFonts w:hint="eastAsia"/>
          <w:sz w:val="32"/>
          <w:szCs w:val="32"/>
          <w:lang w:val="en-US" w:eastAsia="zh-CN"/>
        </w:rPr>
        <w:t>220</w:t>
      </w:r>
      <w:r>
        <w:rPr>
          <w:rFonts w:hint="eastAsia"/>
          <w:sz w:val="32"/>
          <w:szCs w:val="32"/>
        </w:rPr>
        <w:t>篇</w:t>
      </w:r>
      <w:r>
        <w:rPr>
          <w:rFonts w:hint="eastAsia"/>
          <w:sz w:val="32"/>
          <w:szCs w:val="32"/>
          <w:lang w:val="en-US" w:eastAsia="zh-CN"/>
        </w:rPr>
        <w:t>及以上</w:t>
      </w:r>
      <w:r>
        <w:rPr>
          <w:rFonts w:hint="eastAsia"/>
          <w:sz w:val="32"/>
          <w:szCs w:val="32"/>
        </w:rPr>
        <w:t>。台属特困救助人数10人</w:t>
      </w:r>
      <w:r>
        <w:rPr>
          <w:rFonts w:hint="eastAsia"/>
          <w:sz w:val="32"/>
          <w:szCs w:val="32"/>
          <w:lang w:val="en-US" w:eastAsia="zh-CN"/>
        </w:rPr>
        <w:t>及以上</w:t>
      </w:r>
      <w:r>
        <w:rPr>
          <w:rFonts w:hint="eastAsia"/>
          <w:sz w:val="32"/>
          <w:szCs w:val="32"/>
        </w:rPr>
        <w:t>。信息上报数量2</w:t>
      </w:r>
      <w:r>
        <w:rPr>
          <w:rFonts w:hint="eastAsia"/>
          <w:sz w:val="32"/>
          <w:szCs w:val="32"/>
          <w:lang w:val="en-US" w:eastAsia="zh-CN"/>
        </w:rPr>
        <w:t>30</w:t>
      </w:r>
      <w:r>
        <w:rPr>
          <w:rFonts w:hint="eastAsia"/>
          <w:sz w:val="32"/>
          <w:szCs w:val="32"/>
        </w:rPr>
        <w:t>篇</w:t>
      </w:r>
      <w:r>
        <w:rPr>
          <w:rFonts w:hint="eastAsia"/>
          <w:sz w:val="32"/>
          <w:szCs w:val="32"/>
          <w:lang w:val="en-US" w:eastAsia="zh-CN"/>
        </w:rPr>
        <w:t>及以上</w:t>
      </w:r>
      <w:r>
        <w:rPr>
          <w:rFonts w:hint="eastAsia"/>
          <w:sz w:val="32"/>
          <w:szCs w:val="32"/>
        </w:rPr>
        <w:t>。举行全面深化改革和小康工作会议数12次</w:t>
      </w:r>
      <w:r>
        <w:rPr>
          <w:sz w:val="32"/>
          <w:szCs w:val="32"/>
        </w:rPr>
        <w:t>。</w:t>
      </w:r>
    </w:p>
    <w:p>
      <w:pPr>
        <w:widowControl/>
        <w:spacing w:line="500" w:lineRule="exact"/>
        <w:ind w:firstLine="600" w:firstLineChars="200"/>
        <w:rPr>
          <w:sz w:val="30"/>
          <w:szCs w:val="30"/>
        </w:rPr>
      </w:pPr>
      <w:r>
        <w:rPr>
          <w:rFonts w:hint="eastAsia" w:cs="仿宋_GB2312"/>
          <w:sz w:val="30"/>
          <w:szCs w:val="30"/>
        </w:rPr>
        <w:t>②质量指标。</w:t>
      </w:r>
      <w:r>
        <w:rPr>
          <w:rFonts w:hint="eastAsia"/>
          <w:sz w:val="32"/>
          <w:szCs w:val="32"/>
        </w:rPr>
        <w:t>机关事务正常运转率</w:t>
      </w:r>
      <w:r>
        <w:rPr>
          <w:sz w:val="32"/>
          <w:szCs w:val="32"/>
        </w:rPr>
        <w:t>100%</w:t>
      </w:r>
      <w:r>
        <w:rPr>
          <w:rFonts w:hint="eastAsia"/>
          <w:sz w:val="32"/>
          <w:szCs w:val="32"/>
        </w:rPr>
        <w:t>、会议通知到位率</w:t>
      </w:r>
      <w:r>
        <w:rPr>
          <w:sz w:val="32"/>
          <w:szCs w:val="32"/>
        </w:rPr>
        <w:t>100%</w:t>
      </w:r>
      <w:r>
        <w:rPr>
          <w:rFonts w:hint="eastAsia"/>
          <w:sz w:val="32"/>
          <w:szCs w:val="32"/>
        </w:rPr>
        <w:t>、与会人员参会率</w:t>
      </w:r>
      <w:r>
        <w:rPr>
          <w:sz w:val="32"/>
          <w:szCs w:val="32"/>
        </w:rPr>
        <w:t>100%</w:t>
      </w:r>
      <w:r>
        <w:rPr>
          <w:rFonts w:hint="eastAsia"/>
          <w:sz w:val="32"/>
          <w:szCs w:val="32"/>
        </w:rPr>
        <w:t>、活动事故发生率</w:t>
      </w:r>
      <w:r>
        <w:rPr>
          <w:sz w:val="32"/>
          <w:szCs w:val="32"/>
        </w:rPr>
        <w:t>0%</w:t>
      </w:r>
      <w:r>
        <w:rPr>
          <w:rFonts w:hint="eastAsia"/>
          <w:sz w:val="32"/>
          <w:szCs w:val="32"/>
        </w:rPr>
        <w:t>、调研成果利用率</w:t>
      </w:r>
      <w:r>
        <w:rPr>
          <w:sz w:val="32"/>
          <w:szCs w:val="32"/>
        </w:rPr>
        <w:t>100%</w:t>
      </w:r>
      <w:r>
        <w:rPr>
          <w:rFonts w:hint="eastAsia"/>
          <w:sz w:val="32"/>
          <w:szCs w:val="32"/>
        </w:rPr>
        <w:t>、督察问题交办整改率</w:t>
      </w:r>
      <w:r>
        <w:rPr>
          <w:sz w:val="32"/>
          <w:szCs w:val="32"/>
        </w:rPr>
        <w:t>100%</w:t>
      </w:r>
      <w:r>
        <w:rPr>
          <w:rFonts w:hint="eastAsia"/>
          <w:sz w:val="32"/>
          <w:szCs w:val="32"/>
        </w:rPr>
        <w:t>、特困救助精准率</w:t>
      </w:r>
      <w:r>
        <w:rPr>
          <w:sz w:val="32"/>
          <w:szCs w:val="32"/>
        </w:rPr>
        <w:t>100%</w:t>
      </w:r>
      <w:r>
        <w:rPr>
          <w:rFonts w:hint="eastAsia"/>
          <w:sz w:val="32"/>
          <w:szCs w:val="32"/>
        </w:rPr>
        <w:t>、信息上报准确率</w:t>
      </w:r>
      <w:r>
        <w:rPr>
          <w:sz w:val="32"/>
          <w:szCs w:val="32"/>
        </w:rPr>
        <w:t>100%</w:t>
      </w:r>
      <w:r>
        <w:rPr>
          <w:rFonts w:hint="eastAsia"/>
          <w:sz w:val="32"/>
          <w:szCs w:val="32"/>
        </w:rPr>
        <w:t>、上访接待处置率</w:t>
      </w:r>
      <w:r>
        <w:rPr>
          <w:sz w:val="32"/>
          <w:szCs w:val="32"/>
        </w:rPr>
        <w:t>100%</w:t>
      </w:r>
      <w:r>
        <w:rPr>
          <w:rFonts w:hint="eastAsia"/>
          <w:sz w:val="32"/>
          <w:szCs w:val="32"/>
        </w:rPr>
        <w:t>、核心刊物投稿成功率</w:t>
      </w:r>
      <w:r>
        <w:rPr>
          <w:sz w:val="32"/>
          <w:szCs w:val="32"/>
        </w:rPr>
        <w:t>100%。</w:t>
      </w:r>
    </w:p>
    <w:p>
      <w:pPr>
        <w:widowControl/>
        <w:spacing w:line="500" w:lineRule="exact"/>
        <w:ind w:firstLine="600" w:firstLineChars="200"/>
        <w:rPr>
          <w:sz w:val="30"/>
          <w:szCs w:val="30"/>
        </w:rPr>
      </w:pPr>
      <w:r>
        <w:rPr>
          <w:rFonts w:hint="eastAsia" w:cs="仿宋_GB2312"/>
          <w:sz w:val="30"/>
          <w:szCs w:val="30"/>
        </w:rPr>
        <w:t>③时效指标。</w:t>
      </w:r>
      <w:r>
        <w:rPr>
          <w:rFonts w:hint="eastAsia"/>
          <w:sz w:val="32"/>
          <w:szCs w:val="32"/>
        </w:rPr>
        <w:t>各项工作完成</w:t>
      </w:r>
      <w:r>
        <w:rPr>
          <w:sz w:val="32"/>
          <w:szCs w:val="32"/>
        </w:rPr>
        <w:t>及时率100%</w:t>
      </w:r>
      <w:r>
        <w:rPr>
          <w:rFonts w:hint="eastAsia" w:cs="仿宋_GB2312"/>
          <w:sz w:val="30"/>
          <w:szCs w:val="30"/>
        </w:rPr>
        <w:t>。</w:t>
      </w:r>
    </w:p>
    <w:p>
      <w:pPr>
        <w:widowControl/>
        <w:spacing w:line="500" w:lineRule="exact"/>
        <w:ind w:firstLine="600" w:firstLineChars="200"/>
        <w:rPr>
          <w:sz w:val="30"/>
          <w:szCs w:val="30"/>
        </w:rPr>
      </w:pPr>
      <w:r>
        <w:rPr>
          <w:rFonts w:hint="eastAsia" w:cs="仿宋_GB2312"/>
          <w:sz w:val="30"/>
          <w:szCs w:val="30"/>
        </w:rPr>
        <w:t>④成本指标。</w:t>
      </w:r>
      <w:r>
        <w:rPr>
          <w:sz w:val="32"/>
          <w:szCs w:val="32"/>
        </w:rPr>
        <w:t>成本</w:t>
      </w:r>
      <w:r>
        <w:rPr>
          <w:rFonts w:hint="eastAsia"/>
          <w:sz w:val="32"/>
          <w:szCs w:val="32"/>
        </w:rPr>
        <w:t>控制率</w:t>
      </w:r>
      <w:r>
        <w:rPr>
          <w:sz w:val="32"/>
          <w:szCs w:val="32"/>
        </w:rPr>
        <w:t>100%</w:t>
      </w:r>
      <w:r>
        <w:rPr>
          <w:rFonts w:hint="eastAsia" w:cs="仿宋_GB2312"/>
          <w:sz w:val="30"/>
          <w:szCs w:val="30"/>
        </w:rPr>
        <w:t>。</w:t>
      </w:r>
    </w:p>
    <w:p>
      <w:pPr>
        <w:widowControl/>
        <w:spacing w:line="500" w:lineRule="exact"/>
        <w:ind w:firstLine="600" w:firstLineChars="200"/>
        <w:rPr>
          <w:sz w:val="30"/>
          <w:szCs w:val="30"/>
        </w:rPr>
      </w:pPr>
      <w:r>
        <w:rPr>
          <w:rFonts w:hint="eastAsia" w:cs="仿宋_GB2312"/>
          <w:sz w:val="30"/>
          <w:szCs w:val="30"/>
        </w:rPr>
        <w:t>（</w:t>
      </w:r>
      <w:r>
        <w:rPr>
          <w:sz w:val="30"/>
          <w:szCs w:val="30"/>
        </w:rPr>
        <w:t>2</w:t>
      </w:r>
      <w:r>
        <w:rPr>
          <w:rFonts w:hint="eastAsia" w:cs="仿宋_GB2312"/>
          <w:sz w:val="30"/>
          <w:szCs w:val="30"/>
        </w:rPr>
        <w:t>）效益指标</w:t>
      </w:r>
    </w:p>
    <w:p>
      <w:pPr>
        <w:widowControl/>
        <w:spacing w:line="500" w:lineRule="exact"/>
        <w:ind w:firstLine="600" w:firstLineChars="200"/>
        <w:rPr>
          <w:sz w:val="30"/>
          <w:szCs w:val="30"/>
        </w:rPr>
      </w:pPr>
      <w:r>
        <w:rPr>
          <w:rFonts w:hint="eastAsia" w:cs="仿宋_GB2312"/>
          <w:sz w:val="30"/>
          <w:szCs w:val="30"/>
        </w:rPr>
        <w:t>①</w:t>
      </w:r>
      <w:r>
        <w:rPr>
          <w:rFonts w:hint="eastAsia"/>
          <w:sz w:val="32"/>
          <w:szCs w:val="32"/>
        </w:rPr>
        <w:t>促进地方经济发展。优化经济环境。促进社会发展。持续政务保障机制。提升安全保密水平。持续表彰先进奖励机制。持续政务内网运行机制。保持市级文明单位。</w:t>
      </w:r>
    </w:p>
    <w:p>
      <w:pPr>
        <w:widowControl/>
        <w:spacing w:line="500" w:lineRule="exact"/>
        <w:ind w:firstLine="600" w:firstLineChars="200"/>
        <w:rPr>
          <w:sz w:val="30"/>
          <w:szCs w:val="30"/>
        </w:rPr>
      </w:pPr>
      <w:r>
        <w:rPr>
          <w:rFonts w:hint="eastAsia" w:cs="仿宋_GB2312"/>
          <w:sz w:val="30"/>
          <w:szCs w:val="30"/>
        </w:rPr>
        <w:t>②减轻教师负担，减轻学生课业负担。</w:t>
      </w:r>
    </w:p>
    <w:p>
      <w:pPr>
        <w:widowControl/>
        <w:spacing w:line="500" w:lineRule="exact"/>
        <w:ind w:firstLine="600" w:firstLineChars="200"/>
        <w:rPr>
          <w:sz w:val="30"/>
          <w:szCs w:val="30"/>
        </w:rPr>
      </w:pPr>
      <w:r>
        <w:rPr>
          <w:rFonts w:hint="eastAsia" w:cs="仿宋_GB2312"/>
          <w:sz w:val="30"/>
          <w:szCs w:val="30"/>
        </w:rPr>
        <w:t>③提升基础教育水平，提高教师教学水平。</w:t>
      </w:r>
    </w:p>
    <w:p>
      <w:pPr>
        <w:widowControl/>
        <w:spacing w:line="500" w:lineRule="exact"/>
        <w:ind w:firstLine="600" w:firstLineChars="200"/>
      </w:pPr>
      <w:r>
        <w:rPr>
          <w:rFonts w:hint="eastAsia" w:cs="仿宋_GB2312"/>
          <w:sz w:val="30"/>
          <w:szCs w:val="30"/>
        </w:rPr>
        <w:t>④满意度。</w:t>
      </w:r>
      <w:r>
        <w:rPr>
          <w:rFonts w:hint="eastAsia"/>
          <w:sz w:val="32"/>
          <w:szCs w:val="32"/>
        </w:rPr>
        <w:t>服务对象</w:t>
      </w:r>
      <w:r>
        <w:rPr>
          <w:sz w:val="32"/>
          <w:szCs w:val="32"/>
        </w:rPr>
        <w:t>满意度9</w:t>
      </w:r>
      <w:r>
        <w:rPr>
          <w:rFonts w:hint="eastAsia"/>
          <w:sz w:val="32"/>
          <w:szCs w:val="32"/>
          <w:lang w:val="en-US" w:eastAsia="zh-CN"/>
        </w:rPr>
        <w:t>0</w:t>
      </w:r>
      <w:r>
        <w:rPr>
          <w:sz w:val="32"/>
          <w:szCs w:val="32"/>
        </w:rPr>
        <w:t>%以上，社会公众满意度9</w:t>
      </w:r>
      <w:r>
        <w:rPr>
          <w:rFonts w:hint="eastAsia"/>
          <w:sz w:val="32"/>
          <w:szCs w:val="32"/>
          <w:lang w:val="en-US" w:eastAsia="zh-CN"/>
        </w:rPr>
        <w:t>0</w:t>
      </w:r>
      <w:r>
        <w:rPr>
          <w:sz w:val="32"/>
          <w:szCs w:val="32"/>
        </w:rPr>
        <w:t>%以上</w:t>
      </w:r>
      <w:r>
        <w:rPr>
          <w:rFonts w:hint="eastAsia" w:cs="仿宋_GB2312"/>
          <w:sz w:val="30"/>
          <w:szCs w:val="30"/>
        </w:rPr>
        <w:t>。</w:t>
      </w:r>
    </w:p>
    <w:p>
      <w:pPr>
        <w:pStyle w:val="13"/>
        <w:widowControl/>
        <w:spacing w:line="500" w:lineRule="exact"/>
        <w:ind w:firstLine="640"/>
        <w:rPr>
          <w:rFonts w:ascii="Times New Roman" w:hAnsi="Times New Roman" w:eastAsia="黑体" w:cs="Times New Roman"/>
          <w:sz w:val="32"/>
          <w:szCs w:val="32"/>
        </w:rPr>
      </w:pPr>
      <w:r>
        <w:rPr>
          <w:rFonts w:hint="eastAsia" w:ascii="Times New Roman" w:hAnsi="Times New Roman" w:eastAsia="黑体" w:cs="黑体"/>
          <w:sz w:val="32"/>
          <w:szCs w:val="32"/>
        </w:rPr>
        <w:t>二、一般公共预算支出情况</w:t>
      </w:r>
    </w:p>
    <w:p>
      <w:pPr>
        <w:widowControl/>
        <w:spacing w:line="500" w:lineRule="exact"/>
        <w:ind w:firstLine="600" w:firstLineChars="200"/>
        <w:rPr>
          <w:sz w:val="30"/>
          <w:szCs w:val="30"/>
        </w:rPr>
      </w:pPr>
      <w:r>
        <w:rPr>
          <w:rFonts w:hint="eastAsia"/>
          <w:sz w:val="30"/>
          <w:szCs w:val="30"/>
        </w:rPr>
        <w:t>中共桃源县委办公室</w:t>
      </w:r>
      <w:r>
        <w:rPr>
          <w:rFonts w:hint="eastAsia" w:cs="仿宋_GB2312"/>
          <w:sz w:val="30"/>
          <w:szCs w:val="30"/>
        </w:rPr>
        <w:t>本级（不含所属二级预算单位）</w:t>
      </w:r>
      <w:r>
        <w:rPr>
          <w:sz w:val="30"/>
          <w:szCs w:val="30"/>
        </w:rPr>
        <w:t>202</w:t>
      </w:r>
      <w:r>
        <w:rPr>
          <w:rFonts w:hint="eastAsia"/>
          <w:sz w:val="30"/>
          <w:szCs w:val="30"/>
        </w:rPr>
        <w:t>2</w:t>
      </w:r>
      <w:r>
        <w:rPr>
          <w:rFonts w:hint="eastAsia" w:cs="仿宋_GB2312"/>
          <w:sz w:val="30"/>
          <w:szCs w:val="30"/>
        </w:rPr>
        <w:t>年度一般公共预算财政拨款年初结转和结余23.96万元，本年收入</w:t>
      </w:r>
      <w:r>
        <w:rPr>
          <w:rFonts w:hint="eastAsia"/>
          <w:sz w:val="30"/>
          <w:szCs w:val="30"/>
        </w:rPr>
        <w:t>924.95</w:t>
      </w:r>
      <w:r>
        <w:rPr>
          <w:rFonts w:hint="eastAsia" w:cs="仿宋_GB2312"/>
          <w:sz w:val="30"/>
          <w:szCs w:val="30"/>
        </w:rPr>
        <w:t>万元，本年支出</w:t>
      </w:r>
      <w:r>
        <w:rPr>
          <w:rFonts w:hint="eastAsia"/>
          <w:sz w:val="30"/>
          <w:szCs w:val="30"/>
        </w:rPr>
        <w:t>948.91</w:t>
      </w:r>
      <w:r>
        <w:rPr>
          <w:rFonts w:hint="eastAsia" w:cs="仿宋_GB2312"/>
          <w:sz w:val="30"/>
          <w:szCs w:val="30"/>
        </w:rPr>
        <w:t>万元，年末结转和结余</w:t>
      </w:r>
      <w:r>
        <w:rPr>
          <w:rFonts w:hint="eastAsia"/>
          <w:sz w:val="30"/>
          <w:szCs w:val="30"/>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（一）基本支出情况</w:t>
      </w:r>
    </w:p>
    <w:p>
      <w:pPr>
        <w:widowControl/>
        <w:spacing w:line="500" w:lineRule="exact"/>
        <w:ind w:firstLine="600" w:firstLineChars="200"/>
        <w:rPr>
          <w:sz w:val="30"/>
          <w:szCs w:val="30"/>
        </w:rPr>
      </w:pPr>
      <w:r>
        <w:rPr>
          <w:rFonts w:hint="eastAsia"/>
          <w:sz w:val="30"/>
          <w:szCs w:val="30"/>
        </w:rPr>
        <w:t>中共桃源县委办公室</w:t>
      </w:r>
      <w:r>
        <w:rPr>
          <w:rFonts w:hint="eastAsia" w:cs="仿宋_GB2312"/>
          <w:sz w:val="30"/>
          <w:szCs w:val="30"/>
        </w:rPr>
        <w:t>本级（不含所属二级预算单位）</w:t>
      </w:r>
      <w:r>
        <w:rPr>
          <w:sz w:val="30"/>
          <w:szCs w:val="30"/>
        </w:rPr>
        <w:t>202</w:t>
      </w:r>
      <w:r>
        <w:rPr>
          <w:rFonts w:hint="eastAsia"/>
          <w:sz w:val="30"/>
          <w:szCs w:val="30"/>
        </w:rPr>
        <w:t>2</w:t>
      </w:r>
      <w:r>
        <w:rPr>
          <w:rFonts w:hint="eastAsia" w:cs="仿宋_GB2312"/>
          <w:sz w:val="30"/>
          <w:szCs w:val="30"/>
        </w:rPr>
        <w:t>年度一般公共预算财政拨款基本支出年初结转和结余</w:t>
      </w:r>
      <w:r>
        <w:rPr>
          <w:rFonts w:hint="eastAsia"/>
          <w:sz w:val="30"/>
          <w:szCs w:val="30"/>
        </w:rPr>
        <w:t>23.96</w:t>
      </w:r>
      <w:r>
        <w:rPr>
          <w:rFonts w:hint="eastAsia" w:cs="仿宋_GB2312"/>
          <w:sz w:val="30"/>
          <w:szCs w:val="30"/>
        </w:rPr>
        <w:t>万元，本年收入</w:t>
      </w:r>
      <w:r>
        <w:rPr>
          <w:rFonts w:hint="eastAsia"/>
          <w:sz w:val="30"/>
          <w:szCs w:val="30"/>
        </w:rPr>
        <w:t>653.09</w:t>
      </w:r>
      <w:r>
        <w:rPr>
          <w:rFonts w:hint="eastAsia" w:cs="仿宋_GB2312"/>
          <w:sz w:val="30"/>
          <w:szCs w:val="30"/>
        </w:rPr>
        <w:t>万元，本年支出</w:t>
      </w:r>
      <w:r>
        <w:rPr>
          <w:rFonts w:hint="eastAsia"/>
          <w:sz w:val="30"/>
          <w:szCs w:val="30"/>
        </w:rPr>
        <w:t>677.05</w:t>
      </w:r>
      <w:r>
        <w:rPr>
          <w:rFonts w:hint="eastAsia" w:cs="仿宋_GB2312"/>
          <w:sz w:val="30"/>
          <w:szCs w:val="30"/>
        </w:rPr>
        <w:t>万元，年末结转和结余</w:t>
      </w:r>
      <w:r>
        <w:rPr>
          <w:sz w:val="30"/>
          <w:szCs w:val="30"/>
        </w:rPr>
        <w:t>0</w:t>
      </w:r>
      <w:r>
        <w:rPr>
          <w:rFonts w:hint="eastAsia" w:cs="仿宋_GB2312"/>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（二）项目支出情况</w:t>
      </w:r>
    </w:p>
    <w:p>
      <w:pPr>
        <w:widowControl/>
        <w:spacing w:line="500" w:lineRule="exact"/>
        <w:ind w:firstLine="600" w:firstLineChars="200"/>
        <w:rPr>
          <w:sz w:val="30"/>
          <w:szCs w:val="30"/>
        </w:rPr>
      </w:pPr>
      <w:r>
        <w:rPr>
          <w:rFonts w:hint="eastAsia"/>
          <w:sz w:val="30"/>
          <w:szCs w:val="30"/>
        </w:rPr>
        <w:t>中共桃源县委办公室</w:t>
      </w:r>
      <w:r>
        <w:rPr>
          <w:rFonts w:hint="eastAsia" w:cs="仿宋_GB2312"/>
          <w:sz w:val="30"/>
          <w:szCs w:val="30"/>
        </w:rPr>
        <w:t>本级（不含所属二级预算单位）</w:t>
      </w:r>
      <w:r>
        <w:rPr>
          <w:sz w:val="30"/>
          <w:szCs w:val="30"/>
        </w:rPr>
        <w:t>202</w:t>
      </w:r>
      <w:r>
        <w:rPr>
          <w:rFonts w:hint="eastAsia"/>
          <w:sz w:val="30"/>
          <w:szCs w:val="30"/>
        </w:rPr>
        <w:t>2</w:t>
      </w:r>
      <w:r>
        <w:rPr>
          <w:rFonts w:hint="eastAsia" w:cs="仿宋_GB2312"/>
          <w:sz w:val="30"/>
          <w:szCs w:val="30"/>
        </w:rPr>
        <w:t>年度一般公共预算财政拨款项目支出年初结转和结余</w:t>
      </w:r>
      <w:r>
        <w:rPr>
          <w:rFonts w:hint="eastAsia"/>
          <w:sz w:val="30"/>
          <w:szCs w:val="30"/>
        </w:rPr>
        <w:t>0</w:t>
      </w:r>
      <w:r>
        <w:rPr>
          <w:rFonts w:hint="eastAsia" w:cs="仿宋_GB2312"/>
          <w:sz w:val="30"/>
          <w:szCs w:val="30"/>
        </w:rPr>
        <w:t>万元，本年收入</w:t>
      </w:r>
      <w:r>
        <w:rPr>
          <w:rFonts w:hint="eastAsia"/>
          <w:sz w:val="30"/>
          <w:szCs w:val="30"/>
        </w:rPr>
        <w:t>271.87</w:t>
      </w:r>
      <w:r>
        <w:rPr>
          <w:rFonts w:hint="eastAsia" w:cs="仿宋_GB2312"/>
          <w:sz w:val="30"/>
          <w:szCs w:val="30"/>
        </w:rPr>
        <w:t>万元，本年支出</w:t>
      </w:r>
      <w:r>
        <w:rPr>
          <w:rFonts w:hint="eastAsia"/>
          <w:sz w:val="30"/>
          <w:szCs w:val="30"/>
        </w:rPr>
        <w:t>271.87</w:t>
      </w:r>
      <w:r>
        <w:rPr>
          <w:rFonts w:hint="eastAsia" w:cs="仿宋_GB2312"/>
          <w:sz w:val="30"/>
          <w:szCs w:val="30"/>
        </w:rPr>
        <w:t>万元，年末结转和结余</w:t>
      </w:r>
      <w:r>
        <w:rPr>
          <w:rFonts w:hint="eastAsia"/>
          <w:sz w:val="30"/>
          <w:szCs w:val="30"/>
        </w:rPr>
        <w:t>0</w:t>
      </w:r>
      <w:r>
        <w:rPr>
          <w:rFonts w:hint="eastAsia" w:cs="仿宋_GB2312"/>
          <w:sz w:val="30"/>
          <w:szCs w:val="30"/>
        </w:rPr>
        <w:t>万元。</w:t>
      </w:r>
    </w:p>
    <w:p>
      <w:pPr>
        <w:pStyle w:val="13"/>
        <w:widowControl/>
        <w:spacing w:line="500" w:lineRule="exact"/>
        <w:ind w:firstLine="640"/>
        <w:jc w:val="left"/>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13"/>
        <w:widowControl/>
        <w:spacing w:line="500" w:lineRule="exact"/>
        <w:ind w:firstLine="64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3"/>
        <w:widowControl/>
        <w:numPr>
          <w:ilvl w:val="0"/>
          <w:numId w:val="1"/>
        </w:numPr>
        <w:spacing w:line="500" w:lineRule="exact"/>
        <w:ind w:firstLine="64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13"/>
        <w:widowControl/>
        <w:spacing w:line="500" w:lineRule="exact"/>
        <w:ind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3"/>
        <w:widowControl/>
        <w:numPr>
          <w:ilvl w:val="0"/>
          <w:numId w:val="1"/>
        </w:numPr>
        <w:spacing w:line="500" w:lineRule="exact"/>
        <w:ind w:firstLine="64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13"/>
        <w:widowControl/>
        <w:spacing w:line="500" w:lineRule="exact"/>
        <w:ind w:left="56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widowControl/>
        <w:spacing w:line="500" w:lineRule="exact"/>
        <w:ind w:firstLine="645"/>
        <w:jc w:val="left"/>
        <w:rPr>
          <w:rFonts w:eastAsia="黑体"/>
          <w:sz w:val="32"/>
          <w:szCs w:val="32"/>
        </w:rPr>
      </w:pPr>
      <w:r>
        <w:rPr>
          <w:rFonts w:hint="eastAsia" w:eastAsia="黑体" w:cs="黑体"/>
          <w:sz w:val="32"/>
          <w:szCs w:val="32"/>
        </w:rPr>
        <w:t>六、部门整体支出绩效情况</w:t>
      </w:r>
    </w:p>
    <w:p>
      <w:pPr>
        <w:widowControl/>
        <w:spacing w:line="500" w:lineRule="exact"/>
        <w:ind w:firstLine="640" w:firstLineChars="200"/>
        <w:rPr>
          <w:rFonts w:hint="eastAsia" w:ascii="楷体_GB2312" w:eastAsia="楷体_GB2312"/>
          <w:color w:val="auto"/>
          <w:kern w:val="0"/>
          <w:sz w:val="32"/>
          <w:szCs w:val="32"/>
        </w:rPr>
      </w:pPr>
      <w:r>
        <w:rPr>
          <w:rFonts w:hint="eastAsia" w:ascii="楷体_GB2312" w:eastAsia="楷体_GB2312"/>
          <w:color w:val="auto"/>
          <w:kern w:val="0"/>
          <w:sz w:val="32"/>
          <w:szCs w:val="32"/>
        </w:rPr>
        <w:t>（一）绩效目标完成情况</w:t>
      </w:r>
    </w:p>
    <w:p>
      <w:pPr>
        <w:widowControl/>
        <w:spacing w:line="500" w:lineRule="exact"/>
        <w:ind w:firstLine="640" w:firstLineChars="200"/>
        <w:rPr>
          <w:sz w:val="30"/>
          <w:szCs w:val="30"/>
        </w:rPr>
      </w:pPr>
      <w:r>
        <w:rPr>
          <w:rFonts w:hint="eastAsia"/>
          <w:color w:val="auto"/>
          <w:kern w:val="0"/>
          <w:sz w:val="32"/>
          <w:szCs w:val="32"/>
          <w:lang w:val="en-US" w:eastAsia="zh-CN"/>
        </w:rPr>
        <w:t>1、数量指标。</w:t>
      </w:r>
      <w:r>
        <w:rPr>
          <w:rFonts w:hint="eastAsia"/>
          <w:color w:val="auto"/>
          <w:sz w:val="32"/>
          <w:szCs w:val="32"/>
        </w:rPr>
        <w:t>组织开展文明创建活动5次</w:t>
      </w:r>
      <w:r>
        <w:rPr>
          <w:color w:val="auto"/>
          <w:sz w:val="32"/>
          <w:szCs w:val="32"/>
        </w:rPr>
        <w:t>。</w:t>
      </w:r>
      <w:r>
        <w:rPr>
          <w:rFonts w:hint="eastAsia"/>
          <w:color w:val="auto"/>
          <w:sz w:val="32"/>
          <w:szCs w:val="32"/>
        </w:rPr>
        <w:t>主题调研活动4次。举行大</w:t>
      </w:r>
      <w:r>
        <w:rPr>
          <w:rFonts w:hint="eastAsia"/>
          <w:sz w:val="32"/>
          <w:szCs w:val="32"/>
        </w:rPr>
        <w:t>型会议3次。举行小型会议101次。进行常规督查15次。进行专项督查2次。核心刊物投稿235篇。台属特困救助人数10人。信息上报数量266篇。举行全面深化改革和小康工作会议数12次</w:t>
      </w:r>
      <w:r>
        <w:rPr>
          <w:sz w:val="32"/>
          <w:szCs w:val="32"/>
        </w:rPr>
        <w:t>。</w:t>
      </w:r>
    </w:p>
    <w:p>
      <w:pPr>
        <w:widowControl/>
        <w:spacing w:line="500" w:lineRule="exact"/>
        <w:ind w:firstLine="600" w:firstLineChars="200"/>
        <w:rPr>
          <w:rFonts w:hint="eastAsia" w:eastAsia="仿宋_GB2312"/>
          <w:sz w:val="30"/>
          <w:szCs w:val="30"/>
          <w:lang w:eastAsia="zh-CN"/>
        </w:rPr>
      </w:pPr>
      <w:r>
        <w:rPr>
          <w:rFonts w:hint="eastAsia" w:cs="仿宋_GB2312"/>
          <w:sz w:val="30"/>
          <w:szCs w:val="30"/>
          <w:lang w:val="en-US" w:eastAsia="zh-CN"/>
        </w:rPr>
        <w:t>2、</w:t>
      </w:r>
      <w:r>
        <w:rPr>
          <w:rFonts w:hint="eastAsia" w:cs="仿宋_GB2312"/>
          <w:sz w:val="30"/>
          <w:szCs w:val="30"/>
        </w:rPr>
        <w:t>质量指标。</w:t>
      </w:r>
      <w:r>
        <w:rPr>
          <w:rFonts w:hint="eastAsia"/>
          <w:sz w:val="32"/>
          <w:szCs w:val="32"/>
        </w:rPr>
        <w:t>机关事务正常运转率、会议通知到位率、与会人员参会率、调研成果利用率、督察问题交办整改率、特困救助精准率、信息上报准确率、上访接待处置率、核心刊物投稿成功率</w:t>
      </w:r>
      <w:r>
        <w:rPr>
          <w:rFonts w:hint="eastAsia"/>
          <w:sz w:val="32"/>
          <w:szCs w:val="32"/>
          <w:lang w:val="en-US" w:eastAsia="zh-CN"/>
        </w:rPr>
        <w:t>均达到100%</w:t>
      </w:r>
      <w:r>
        <w:rPr>
          <w:sz w:val="32"/>
          <w:szCs w:val="32"/>
        </w:rPr>
        <w:t>。</w:t>
      </w:r>
      <w:r>
        <w:rPr>
          <w:rFonts w:hint="eastAsia"/>
          <w:sz w:val="32"/>
          <w:szCs w:val="32"/>
        </w:rPr>
        <w:t>活动事故发生率</w:t>
      </w:r>
      <w:r>
        <w:rPr>
          <w:sz w:val="32"/>
          <w:szCs w:val="32"/>
        </w:rPr>
        <w:t>0%</w:t>
      </w:r>
      <w:r>
        <w:rPr>
          <w:rFonts w:hint="eastAsia"/>
          <w:sz w:val="32"/>
          <w:szCs w:val="32"/>
          <w:lang w:eastAsia="zh-CN"/>
        </w:rPr>
        <w:t>。</w:t>
      </w:r>
    </w:p>
    <w:p>
      <w:pPr>
        <w:widowControl/>
        <w:spacing w:line="500" w:lineRule="exact"/>
        <w:ind w:firstLine="600" w:firstLineChars="200"/>
        <w:rPr>
          <w:sz w:val="30"/>
          <w:szCs w:val="30"/>
        </w:rPr>
      </w:pPr>
      <w:r>
        <w:rPr>
          <w:rFonts w:hint="eastAsia" w:cs="仿宋_GB2312"/>
          <w:sz w:val="30"/>
          <w:szCs w:val="30"/>
          <w:lang w:val="en-US" w:eastAsia="zh-CN"/>
        </w:rPr>
        <w:t>3、</w:t>
      </w:r>
      <w:r>
        <w:rPr>
          <w:rFonts w:hint="eastAsia" w:cs="仿宋_GB2312"/>
          <w:sz w:val="30"/>
          <w:szCs w:val="30"/>
        </w:rPr>
        <w:t>时效指标。</w:t>
      </w:r>
      <w:r>
        <w:rPr>
          <w:rFonts w:hint="eastAsia"/>
          <w:sz w:val="32"/>
          <w:szCs w:val="32"/>
        </w:rPr>
        <w:t>各项工作完成</w:t>
      </w:r>
      <w:r>
        <w:rPr>
          <w:sz w:val="32"/>
          <w:szCs w:val="32"/>
        </w:rPr>
        <w:t>及时率100%</w:t>
      </w:r>
      <w:r>
        <w:rPr>
          <w:rFonts w:hint="eastAsia" w:cs="仿宋_GB2312"/>
          <w:sz w:val="30"/>
          <w:szCs w:val="30"/>
        </w:rPr>
        <w:t>。</w:t>
      </w:r>
    </w:p>
    <w:p>
      <w:pPr>
        <w:widowControl/>
        <w:spacing w:line="500" w:lineRule="exact"/>
        <w:ind w:firstLine="600" w:firstLineChars="200"/>
        <w:rPr>
          <w:rFonts w:hint="eastAsia"/>
          <w:color w:val="FF0000"/>
          <w:kern w:val="0"/>
          <w:sz w:val="32"/>
          <w:szCs w:val="32"/>
        </w:rPr>
      </w:pPr>
      <w:r>
        <w:rPr>
          <w:rFonts w:hint="eastAsia" w:cs="仿宋_GB2312"/>
          <w:sz w:val="30"/>
          <w:szCs w:val="30"/>
          <w:lang w:val="en-US" w:eastAsia="zh-CN"/>
        </w:rPr>
        <w:t>4、</w:t>
      </w:r>
      <w:r>
        <w:rPr>
          <w:rFonts w:hint="eastAsia" w:cs="仿宋_GB2312"/>
          <w:sz w:val="30"/>
          <w:szCs w:val="30"/>
        </w:rPr>
        <w:t>成本指标。</w:t>
      </w:r>
      <w:r>
        <w:rPr>
          <w:sz w:val="32"/>
          <w:szCs w:val="32"/>
        </w:rPr>
        <w:t>成本</w:t>
      </w:r>
      <w:r>
        <w:rPr>
          <w:rFonts w:hint="eastAsia"/>
          <w:sz w:val="32"/>
          <w:szCs w:val="32"/>
        </w:rPr>
        <w:t>控制率</w:t>
      </w:r>
      <w:r>
        <w:rPr>
          <w:sz w:val="32"/>
          <w:szCs w:val="32"/>
        </w:rPr>
        <w:t>100%</w:t>
      </w:r>
      <w:r>
        <w:rPr>
          <w:rFonts w:hint="eastAsia" w:cs="仿宋_GB2312"/>
          <w:sz w:val="30"/>
          <w:szCs w:val="30"/>
        </w:rPr>
        <w:t>。</w:t>
      </w:r>
    </w:p>
    <w:p>
      <w:pPr>
        <w:widowControl/>
        <w:spacing w:line="500" w:lineRule="exact"/>
        <w:ind w:firstLine="640" w:firstLineChars="200"/>
        <w:rPr>
          <w:rFonts w:hint="eastAsia" w:ascii="楷体_GB2312" w:eastAsia="楷体_GB2312"/>
          <w:kern w:val="0"/>
          <w:sz w:val="32"/>
          <w:szCs w:val="32"/>
        </w:rPr>
      </w:pPr>
      <w:r>
        <w:rPr>
          <w:rFonts w:hint="eastAsia" w:ascii="楷体_GB2312" w:eastAsia="楷体_GB2312"/>
          <w:kern w:val="0"/>
          <w:sz w:val="32"/>
          <w:szCs w:val="32"/>
        </w:rPr>
        <w:t>（二）部门绩效情况</w:t>
      </w:r>
    </w:p>
    <w:p>
      <w:pPr>
        <w:widowControl/>
        <w:spacing w:line="500" w:lineRule="exact"/>
        <w:ind w:firstLine="640" w:firstLineChars="200"/>
        <w:rPr>
          <w:kern w:val="0"/>
          <w:sz w:val="32"/>
          <w:szCs w:val="32"/>
        </w:rPr>
      </w:pPr>
      <w:r>
        <w:rPr>
          <w:kern w:val="0"/>
          <w:sz w:val="32"/>
          <w:szCs w:val="32"/>
        </w:rPr>
        <w:t>今年来，县委办认真按照“创满意机关，争全市一流”的要求，紧扣县委中心工作，努力提高服务效能，各项工作取得了明显成效。概括来讲，主要体现在“四主”：</w:t>
      </w:r>
    </w:p>
    <w:p>
      <w:pPr>
        <w:widowControl/>
        <w:spacing w:line="500" w:lineRule="exact"/>
        <w:ind w:firstLine="640" w:firstLineChars="200"/>
        <w:rPr>
          <w:kern w:val="0"/>
          <w:sz w:val="32"/>
          <w:szCs w:val="32"/>
        </w:rPr>
      </w:pPr>
      <w:r>
        <w:rPr>
          <w:kern w:val="0"/>
          <w:sz w:val="32"/>
          <w:szCs w:val="32"/>
        </w:rPr>
        <w:t>1.紧扣主线，全力服务大局。紧紧围绕县委决策部署，全力推进“市域副中心，现代新桃源”建设，扎实做好“六稳”工作，全面落实“六保”任务。一是服务决策。紧贴发展重点、领导思路、工作实际，深入开展调查研究，较好地完成了县委经济工作会议、县委</w:t>
      </w:r>
      <w:r>
        <w:rPr>
          <w:rFonts w:hint="eastAsia"/>
          <w:kern w:val="0"/>
          <w:sz w:val="32"/>
          <w:szCs w:val="32"/>
        </w:rPr>
        <w:t>战略研究</w:t>
      </w:r>
      <w:r>
        <w:rPr>
          <w:kern w:val="0"/>
          <w:sz w:val="32"/>
          <w:szCs w:val="32"/>
        </w:rPr>
        <w:t>会等重要会议报告以及各类领导讲话的起草，县本级有</w:t>
      </w:r>
      <w:r>
        <w:rPr>
          <w:rFonts w:hint="eastAsia"/>
          <w:kern w:val="0"/>
          <w:sz w:val="32"/>
          <w:szCs w:val="32"/>
        </w:rPr>
        <w:t>20</w:t>
      </w:r>
      <w:r>
        <w:rPr>
          <w:kern w:val="0"/>
          <w:sz w:val="32"/>
          <w:szCs w:val="32"/>
        </w:rPr>
        <w:t>多篇调研成果在省市级核心刊物刊发。编发《每日要情》，涵盖政策信息、工作动态、典型经验等内容，为领导决策提供了重要参考。二是服务落实。建立全县重点工作落实情况月督查机制，将县人大常委会党组、县政协党组以及县委常委、县政府副县长牵头的每月重点工作开展情况，提交县委常委（扩大）会议进行点评。三是服务中心。抓好全面深化改革工作，农村无职党员“组团”服务群众、“2号公章”等改革成果在省委改革办内刊、《湖南日报》予以推介。目前，正在准备参与全市优秀改革项目评选准备，开展对上衔接汇报，争取年度考核进入全市第一方阵。</w:t>
      </w:r>
    </w:p>
    <w:p>
      <w:pPr>
        <w:widowControl/>
        <w:spacing w:line="500" w:lineRule="exact"/>
        <w:ind w:firstLine="640" w:firstLineChars="200"/>
        <w:rPr>
          <w:kern w:val="0"/>
          <w:sz w:val="32"/>
          <w:szCs w:val="32"/>
        </w:rPr>
      </w:pPr>
      <w:r>
        <w:rPr>
          <w:kern w:val="0"/>
          <w:sz w:val="32"/>
          <w:szCs w:val="32"/>
        </w:rPr>
        <w:t>2.担起主责，尽力协调各方。充分发挥承上启下、协调左右、联系内外的职能，确保实现协调联络“零缺陷、零失误、零差错”。一是活动安排力求精细。对全县拟开展的重要工作、主要活动每月进行预安排、每周进行精细安排，做到井井有条、不出差错。特别是对于重大活动实行“专门领导、专门班子、专门方案”，二是上下联络力求顺畅。建立健全办公室系统沟通联系机制，对上加强与市委办公室的沟通联系，及时掌握市委主要活动安排，为县本级活动安排赢得主动；对下加强与各乡镇各部门的沟通联系，对涉及全局的重点工作、重要活动进行全面统筹，做到统一调度、统一安排。特别是坚持24小时应急值班制度，做到了不压事、不误事、不漏事、不坏事。三是自身运转力求有序。坚持按制度管人、按程序办事，制定了《办公室业务工作流程》，对于会议活动、文电办理、督促检查、通信保密、后勤保障等工作，严格制定业务流程图，用严格严谨的流程使办公室各项工作有章可循、有据可依。</w:t>
      </w:r>
    </w:p>
    <w:p>
      <w:pPr>
        <w:widowControl/>
        <w:spacing w:line="500" w:lineRule="exact"/>
        <w:ind w:firstLine="640" w:firstLineChars="200"/>
        <w:rPr>
          <w:kern w:val="0"/>
          <w:sz w:val="32"/>
          <w:szCs w:val="32"/>
        </w:rPr>
      </w:pPr>
      <w:r>
        <w:rPr>
          <w:kern w:val="0"/>
          <w:sz w:val="32"/>
          <w:szCs w:val="32"/>
        </w:rPr>
        <w:t>3.守好主业，努力提升水平。立足办公室自身职能职责，着力抓好各项业务工作，力求争先创优。一是抓好综调信息工作。今年来，共撰写各类领导讲话、调研报告等100余篇，共计50多万字，在省委《工作情况交流》《湖南工作》、市委《内参》《政研内参》《常德通讯》以及《湖南领导专供》等市级及以上核心刊物发表领导署名文章20多篇；上报各类信息200余条，综调工作、信息工作均基本省市前列。二是抓好文秘办文工作。做到了紧急公文决不误事、一般公文决不拖延、校核公文决不出错，公文处理工作基本锁定全市第一。三是抓好督查督办工作。围绕环境保护、安全生产、信访维稳、防汛备汛、“六</w:t>
      </w:r>
      <w:r>
        <w:rPr>
          <w:rFonts w:hint="eastAsia"/>
          <w:kern w:val="0"/>
          <w:sz w:val="32"/>
          <w:szCs w:val="32"/>
        </w:rPr>
        <w:t>稳</w:t>
      </w:r>
      <w:r>
        <w:rPr>
          <w:kern w:val="0"/>
          <w:sz w:val="32"/>
          <w:szCs w:val="32"/>
        </w:rPr>
        <w:t>”等重点工作开展决策督查活动，配合中央、省、市各项督查活动，编发《督查通报》，上报《督查专报》。共办理领导批示件及时办结率达到100%，做到了件件有着落、事事有结果、项项有回声。四是抓好机要保密工作。树立保密工作无小事理念，切实加强保密检查整改力度，对重点涉密单位的保密工作进行了抽查，对机关事业单位门户网站发布信息的涉密性进行了检查，圆满完成“两考”试卷保密工作；规范密码电报、涉密文件管理；大力提升技防水平，完成重点涉密单位保密检查管理系统配备，电子政务内网基本建成，实现了主干网络省、市、县三级互联互通，确保了机要保密万无一失。五是抓好值班接待工作。承接全县性重大会议、办理上级文电、收发通知、接待群众来信来访，做到了值班守备到岗到位、不出差错。</w:t>
      </w:r>
    </w:p>
    <w:p>
      <w:pPr>
        <w:widowControl/>
        <w:spacing w:line="500" w:lineRule="exact"/>
        <w:ind w:firstLine="645"/>
        <w:jc w:val="left"/>
        <w:rPr>
          <w:sz w:val="30"/>
          <w:szCs w:val="30"/>
        </w:rPr>
      </w:pPr>
      <w:r>
        <w:rPr>
          <w:kern w:val="0"/>
          <w:sz w:val="32"/>
          <w:szCs w:val="32"/>
        </w:rPr>
        <w:t>4.突出主题，着力规范管理。围绕“两学一做”主题，强化内部管理，加强队伍建设，创造心情舒畅、风清气正、规范有序的工作环境。一是强化作风建设。坚持把作风建设作为提升服务水平的重要保障，严格落实党风廉政建设责任制，深入推进“两学一做”学习教育常态化，扎实开展民主生活会、主题党日活动，加强党员干部党性教育，严格执行各项纪律规定，继续保持了办公室干部过硬的纪律性和良好形象。二是强化队伍建设。激发了干部队伍活力。注重办公室人才储备和梯队培养。三是强化机关文明建设。</w:t>
      </w:r>
    </w:p>
    <w:p>
      <w:pPr>
        <w:widowControl/>
        <w:spacing w:line="500" w:lineRule="exact"/>
        <w:ind w:firstLine="640" w:firstLineChars="200"/>
        <w:jc w:val="left"/>
        <w:rPr>
          <w:rFonts w:eastAsia="黑体"/>
          <w:sz w:val="32"/>
          <w:szCs w:val="32"/>
        </w:rPr>
      </w:pPr>
      <w:r>
        <w:rPr>
          <w:rFonts w:hint="eastAsia" w:eastAsia="黑体" w:cs="黑体"/>
          <w:sz w:val="32"/>
          <w:szCs w:val="32"/>
        </w:rPr>
        <w:t>七、存在的问题及原因分析</w:t>
      </w:r>
    </w:p>
    <w:p>
      <w:pPr>
        <w:widowControl/>
        <w:spacing w:line="500" w:lineRule="exact"/>
        <w:ind w:firstLine="640" w:firstLineChars="200"/>
        <w:rPr>
          <w:rFonts w:eastAsia="楷体_GB2312"/>
          <w:sz w:val="32"/>
          <w:szCs w:val="32"/>
        </w:rPr>
      </w:pPr>
      <w:r>
        <w:rPr>
          <w:rFonts w:hint="eastAsia" w:eastAsia="楷体_GB2312" w:cs="楷体_GB2312"/>
          <w:sz w:val="32"/>
          <w:szCs w:val="32"/>
        </w:rPr>
        <w:t>（一）存在的问题</w:t>
      </w:r>
    </w:p>
    <w:p>
      <w:pPr>
        <w:widowControl/>
        <w:numPr>
          <w:ilvl w:val="0"/>
          <w:numId w:val="2"/>
        </w:numPr>
        <w:spacing w:line="500" w:lineRule="exact"/>
        <w:rPr>
          <w:color w:val="auto"/>
          <w:kern w:val="0"/>
          <w:sz w:val="32"/>
          <w:szCs w:val="32"/>
        </w:rPr>
      </w:pPr>
      <w:r>
        <w:rPr>
          <w:rFonts w:hint="eastAsia"/>
          <w:color w:val="auto"/>
          <w:kern w:val="0"/>
          <w:sz w:val="32"/>
          <w:szCs w:val="32"/>
          <w:lang w:val="en-US" w:eastAsia="zh-CN"/>
        </w:rPr>
        <w:t>部门预算调整较大</w:t>
      </w:r>
      <w:r>
        <w:rPr>
          <w:rFonts w:hint="eastAsia"/>
          <w:color w:val="auto"/>
          <w:kern w:val="0"/>
          <w:sz w:val="32"/>
          <w:szCs w:val="32"/>
        </w:rPr>
        <w:t>。</w:t>
      </w:r>
      <w:r>
        <w:rPr>
          <w:rFonts w:hint="eastAsia"/>
          <w:color w:val="auto"/>
          <w:kern w:val="0"/>
          <w:sz w:val="32"/>
          <w:szCs w:val="32"/>
          <w:lang w:val="en-US" w:eastAsia="zh-CN"/>
        </w:rPr>
        <w:t>2022年全年预算调整-288.74，调整率23.33%。</w:t>
      </w:r>
    </w:p>
    <w:p>
      <w:pPr>
        <w:widowControl/>
        <w:numPr>
          <w:ilvl w:val="0"/>
          <w:numId w:val="2"/>
        </w:numPr>
        <w:spacing w:line="500" w:lineRule="exact"/>
        <w:rPr>
          <w:color w:val="auto"/>
          <w:kern w:val="0"/>
          <w:sz w:val="32"/>
          <w:szCs w:val="32"/>
        </w:rPr>
      </w:pPr>
      <w:r>
        <w:rPr>
          <w:rFonts w:hint="eastAsia"/>
          <w:color w:val="auto"/>
          <w:kern w:val="0"/>
          <w:sz w:val="32"/>
          <w:szCs w:val="32"/>
          <w:lang w:val="en-US" w:eastAsia="zh-CN"/>
        </w:rPr>
        <w:t>绩效目标欠完整</w:t>
      </w:r>
      <w:r>
        <w:rPr>
          <w:rFonts w:hint="eastAsia"/>
          <w:color w:val="auto"/>
          <w:kern w:val="0"/>
          <w:sz w:val="32"/>
          <w:szCs w:val="32"/>
        </w:rPr>
        <w:t>。</w:t>
      </w:r>
      <w:r>
        <w:rPr>
          <w:rFonts w:hint="eastAsia" w:cs="仿宋_GB2312"/>
          <w:color w:val="auto"/>
          <w:sz w:val="30"/>
          <w:szCs w:val="30"/>
        </w:rPr>
        <w:t>单位部分专项资金绩效目标未纳入整体绩效目标中来。</w:t>
      </w:r>
    </w:p>
    <w:p>
      <w:pPr>
        <w:widowControl/>
        <w:numPr>
          <w:ilvl w:val="0"/>
          <w:numId w:val="2"/>
        </w:numPr>
        <w:spacing w:line="500" w:lineRule="exact"/>
        <w:rPr>
          <w:color w:val="auto"/>
          <w:kern w:val="0"/>
          <w:sz w:val="32"/>
          <w:szCs w:val="32"/>
        </w:rPr>
      </w:pPr>
      <w:r>
        <w:rPr>
          <w:rFonts w:hint="eastAsia"/>
          <w:color w:val="auto"/>
          <w:kern w:val="0"/>
          <w:sz w:val="32"/>
          <w:szCs w:val="32"/>
        </w:rPr>
        <w:t>公务卡使用</w:t>
      </w:r>
      <w:r>
        <w:rPr>
          <w:rFonts w:hint="eastAsia"/>
          <w:color w:val="auto"/>
          <w:kern w:val="0"/>
          <w:sz w:val="32"/>
          <w:szCs w:val="32"/>
          <w:lang w:val="en-US" w:eastAsia="zh-CN"/>
        </w:rPr>
        <w:t>不到位</w:t>
      </w:r>
      <w:r>
        <w:rPr>
          <w:rFonts w:hint="eastAsia"/>
          <w:color w:val="auto"/>
          <w:kern w:val="0"/>
          <w:sz w:val="32"/>
          <w:szCs w:val="32"/>
        </w:rPr>
        <w:t>。</w:t>
      </w:r>
      <w:r>
        <w:rPr>
          <w:rFonts w:hint="eastAsia"/>
          <w:color w:val="auto"/>
          <w:kern w:val="0"/>
          <w:sz w:val="32"/>
          <w:szCs w:val="32"/>
          <w:lang w:val="en-US" w:eastAsia="zh-CN"/>
        </w:rPr>
        <w:t>报账时因特殊原因导致个人垫付，未及时使用公务卡。</w:t>
      </w:r>
    </w:p>
    <w:p>
      <w:pPr>
        <w:numPr>
          <w:ilvl w:val="0"/>
          <w:numId w:val="2"/>
        </w:numPr>
        <w:spacing w:line="500" w:lineRule="exact"/>
        <w:ind w:left="640" w:leftChars="0" w:firstLine="0" w:firstLineChars="0"/>
        <w:rPr>
          <w:rFonts w:hint="eastAsia"/>
          <w:color w:val="auto"/>
          <w:kern w:val="0"/>
          <w:sz w:val="32"/>
          <w:szCs w:val="32"/>
        </w:rPr>
      </w:pPr>
      <w:r>
        <w:rPr>
          <w:rFonts w:hint="eastAsia"/>
          <w:color w:val="auto"/>
          <w:kern w:val="0"/>
          <w:sz w:val="32"/>
          <w:szCs w:val="32"/>
        </w:rPr>
        <w:t>政府采购未实现全覆盖。</w:t>
      </w:r>
    </w:p>
    <w:p>
      <w:pPr>
        <w:numPr>
          <w:ilvl w:val="0"/>
          <w:numId w:val="2"/>
        </w:numPr>
        <w:spacing w:line="500" w:lineRule="exact"/>
        <w:ind w:left="640" w:leftChars="0" w:firstLine="0" w:firstLineChars="0"/>
        <w:rPr>
          <w:rFonts w:hint="eastAsia"/>
          <w:color w:val="auto"/>
          <w:kern w:val="0"/>
          <w:sz w:val="32"/>
          <w:szCs w:val="32"/>
        </w:rPr>
      </w:pPr>
      <w:r>
        <w:rPr>
          <w:rFonts w:hint="eastAsia"/>
          <w:color w:val="auto"/>
          <w:kern w:val="0"/>
          <w:sz w:val="32"/>
          <w:szCs w:val="32"/>
        </w:rPr>
        <w:t>资产信息更新不及时。资产管理意识有待提高，自</w:t>
      </w:r>
      <w:r>
        <w:rPr>
          <w:rFonts w:hint="eastAsia"/>
          <w:color w:val="auto"/>
          <w:kern w:val="0"/>
          <w:sz w:val="32"/>
          <w:szCs w:val="32"/>
          <w:lang w:val="en-US" w:eastAsia="zh-CN"/>
        </w:rPr>
        <w:t xml:space="preserve">  </w:t>
      </w:r>
      <w:r>
        <w:rPr>
          <w:rFonts w:hint="eastAsia"/>
          <w:color w:val="auto"/>
          <w:kern w:val="0"/>
          <w:sz w:val="32"/>
          <w:szCs w:val="32"/>
        </w:rPr>
        <w:t>查时发现个别资产责任人对所负责的资产情况掌握不清，未能及时上报资产信息变更情况，导致资产管理系统中的资产信息与实际资产使用状况存在“时差”。</w:t>
      </w:r>
    </w:p>
    <w:p>
      <w:pPr>
        <w:pStyle w:val="11"/>
        <w:numPr>
          <w:ilvl w:val="0"/>
          <w:numId w:val="3"/>
        </w:numPr>
        <w:spacing w:line="500" w:lineRule="exact"/>
        <w:ind w:firstLine="640" w:firstLineChars="200"/>
        <w:rPr>
          <w:rFonts w:eastAsia="楷体_GB2312"/>
        </w:rPr>
      </w:pPr>
      <w:r>
        <w:rPr>
          <w:rFonts w:hint="eastAsia" w:eastAsia="楷体_GB2312" w:cs="楷体_GB2312"/>
        </w:rPr>
        <w:t>原因分析</w:t>
      </w:r>
    </w:p>
    <w:p>
      <w:pPr>
        <w:widowControl/>
        <w:numPr>
          <w:ilvl w:val="0"/>
          <w:numId w:val="4"/>
        </w:numPr>
        <w:spacing w:line="500" w:lineRule="exact"/>
        <w:ind w:firstLine="640" w:firstLineChars="200"/>
        <w:jc w:val="left"/>
        <w:rPr>
          <w:kern w:val="0"/>
          <w:sz w:val="32"/>
          <w:szCs w:val="32"/>
        </w:rPr>
      </w:pPr>
      <w:r>
        <w:rPr>
          <w:rFonts w:hint="eastAsia" w:cs="仿宋_GB2312"/>
          <w:sz w:val="32"/>
          <w:szCs w:val="32"/>
        </w:rPr>
        <w:t>部门预算调整大的主要原因为</w:t>
      </w:r>
      <w:r>
        <w:rPr>
          <w:rFonts w:hint="eastAsia" w:cs="仿宋_GB2312"/>
          <w:sz w:val="32"/>
          <w:szCs w:val="32"/>
          <w:lang w:val="en-US" w:eastAsia="zh-CN"/>
        </w:rPr>
        <w:t>大力缩减了公用经费</w:t>
      </w:r>
      <w:r>
        <w:rPr>
          <w:rFonts w:hint="eastAsia"/>
          <w:kern w:val="0"/>
          <w:sz w:val="32"/>
          <w:szCs w:val="32"/>
        </w:rPr>
        <w:t>。</w:t>
      </w:r>
    </w:p>
    <w:p>
      <w:pPr>
        <w:widowControl/>
        <w:numPr>
          <w:ilvl w:val="0"/>
          <w:numId w:val="4"/>
        </w:numPr>
        <w:spacing w:line="500" w:lineRule="exact"/>
        <w:ind w:firstLine="640" w:firstLineChars="200"/>
        <w:jc w:val="left"/>
        <w:rPr>
          <w:kern w:val="0"/>
          <w:sz w:val="32"/>
          <w:szCs w:val="32"/>
        </w:rPr>
      </w:pPr>
      <w:r>
        <w:rPr>
          <w:rFonts w:hint="eastAsia"/>
          <w:kern w:val="0"/>
          <w:sz w:val="32"/>
          <w:szCs w:val="32"/>
        </w:rPr>
        <w:t>未</w:t>
      </w:r>
      <w:r>
        <w:rPr>
          <w:rFonts w:hint="eastAsia" w:cs="仿宋_GB2312"/>
          <w:sz w:val="32"/>
          <w:szCs w:val="32"/>
        </w:rPr>
        <w:t>部分专项资金年度工作计划确定较迟，指标下达时间较晚。</w:t>
      </w:r>
    </w:p>
    <w:p>
      <w:pPr>
        <w:widowControl/>
        <w:numPr>
          <w:ilvl w:val="0"/>
          <w:numId w:val="4"/>
        </w:numPr>
        <w:spacing w:line="500" w:lineRule="exact"/>
        <w:ind w:left="640"/>
        <w:rPr>
          <w:kern w:val="0"/>
          <w:sz w:val="32"/>
          <w:szCs w:val="32"/>
        </w:rPr>
      </w:pPr>
      <w:r>
        <w:rPr>
          <w:rFonts w:hint="eastAsia"/>
          <w:kern w:val="0"/>
          <w:sz w:val="32"/>
          <w:szCs w:val="32"/>
        </w:rPr>
        <w:t>对公务卡的使用规范得不够严谨，没有百分百做到：不使用公务卡不予报账。</w:t>
      </w:r>
    </w:p>
    <w:p>
      <w:pPr>
        <w:widowControl/>
        <w:numPr>
          <w:ilvl w:val="0"/>
          <w:numId w:val="4"/>
        </w:numPr>
        <w:spacing w:line="500" w:lineRule="exact"/>
        <w:ind w:firstLine="640" w:firstLineChars="200"/>
        <w:jc w:val="left"/>
        <w:rPr>
          <w:kern w:val="0"/>
          <w:sz w:val="32"/>
          <w:szCs w:val="32"/>
        </w:rPr>
      </w:pPr>
      <w:r>
        <w:rPr>
          <w:rFonts w:hint="eastAsia"/>
          <w:kern w:val="0"/>
          <w:sz w:val="32"/>
          <w:szCs w:val="32"/>
        </w:rPr>
        <w:t>偶尔购买小额办公用品采取直接支付形式，未经过平台。</w:t>
      </w:r>
    </w:p>
    <w:p>
      <w:pPr>
        <w:widowControl/>
        <w:numPr>
          <w:ilvl w:val="0"/>
          <w:numId w:val="4"/>
        </w:numPr>
        <w:spacing w:line="500" w:lineRule="exact"/>
        <w:ind w:firstLine="640" w:firstLineChars="200"/>
        <w:jc w:val="left"/>
        <w:rPr>
          <w:kern w:val="0"/>
          <w:sz w:val="32"/>
          <w:szCs w:val="32"/>
        </w:rPr>
      </w:pPr>
      <w:r>
        <w:rPr>
          <w:rFonts w:hint="eastAsia"/>
          <w:kern w:val="0"/>
          <w:sz w:val="32"/>
          <w:szCs w:val="32"/>
          <w:lang w:val="en-US" w:eastAsia="zh-CN"/>
        </w:rPr>
        <w:t>资产管理意识不够，未能对各资产管理人进行相关知识培训导致</w:t>
      </w:r>
      <w:r>
        <w:rPr>
          <w:rFonts w:hint="eastAsia"/>
          <w:color w:val="auto"/>
          <w:kern w:val="0"/>
          <w:sz w:val="32"/>
          <w:szCs w:val="32"/>
        </w:rPr>
        <w:t>个别资产责任人对所负责的资产情况掌握不清，未能及时上报资产信息变更情况</w:t>
      </w:r>
      <w:r>
        <w:rPr>
          <w:rFonts w:hint="eastAsia"/>
          <w:color w:val="auto"/>
          <w:kern w:val="0"/>
          <w:sz w:val="32"/>
          <w:szCs w:val="32"/>
          <w:lang w:eastAsia="zh-CN"/>
        </w:rPr>
        <w:t>。</w:t>
      </w:r>
    </w:p>
    <w:p>
      <w:pPr>
        <w:widowControl/>
        <w:spacing w:line="500" w:lineRule="exact"/>
        <w:ind w:firstLine="640" w:firstLineChars="200"/>
        <w:jc w:val="left"/>
        <w:rPr>
          <w:rFonts w:eastAsia="黑体"/>
          <w:sz w:val="32"/>
          <w:szCs w:val="32"/>
        </w:rPr>
      </w:pPr>
      <w:r>
        <w:rPr>
          <w:rFonts w:hint="eastAsia" w:eastAsia="黑体" w:cs="黑体"/>
          <w:sz w:val="32"/>
          <w:szCs w:val="32"/>
        </w:rPr>
        <w:t>八、下一步改进措施</w:t>
      </w:r>
    </w:p>
    <w:p>
      <w:pPr>
        <w:spacing w:line="500" w:lineRule="exact"/>
        <w:ind w:firstLine="640" w:firstLineChars="200"/>
        <w:rPr>
          <w:rFonts w:cs="仿宋_GB2312"/>
          <w:color w:val="auto"/>
          <w:sz w:val="32"/>
          <w:szCs w:val="32"/>
        </w:rPr>
      </w:pPr>
      <w:r>
        <w:rPr>
          <w:rFonts w:hint="eastAsia" w:cs="仿宋_GB2312"/>
          <w:color w:val="auto"/>
          <w:sz w:val="32"/>
          <w:szCs w:val="32"/>
        </w:rPr>
        <w:t>1、加强预算管理。我单位在来年编制预算时，加强与财政部门的沟通力度，科学、完整的编制单位预算。</w:t>
      </w:r>
    </w:p>
    <w:p>
      <w:pPr>
        <w:spacing w:line="500" w:lineRule="exact"/>
        <w:ind w:firstLine="640" w:firstLineChars="200"/>
        <w:rPr>
          <w:rFonts w:hint="default" w:eastAsia="仿宋_GB2312" w:cs="仿宋_GB2312"/>
          <w:color w:val="auto"/>
          <w:sz w:val="32"/>
          <w:szCs w:val="32"/>
          <w:lang w:val="en-US" w:eastAsia="zh-CN"/>
        </w:rPr>
      </w:pPr>
      <w:r>
        <w:rPr>
          <w:rFonts w:hint="eastAsia" w:cs="仿宋_GB2312"/>
          <w:color w:val="auto"/>
          <w:sz w:val="32"/>
          <w:szCs w:val="32"/>
        </w:rPr>
        <w:t>2、完整申报绩效目标。来年将根据当年工作计划科学、完整的申报绩效目标</w:t>
      </w:r>
      <w:r>
        <w:rPr>
          <w:rFonts w:hint="eastAsia" w:cs="仿宋_GB2312"/>
          <w:color w:val="auto"/>
          <w:sz w:val="32"/>
          <w:szCs w:val="32"/>
          <w:lang w:eastAsia="zh-CN"/>
        </w:rPr>
        <w:t>，</w:t>
      </w:r>
      <w:r>
        <w:rPr>
          <w:rFonts w:hint="eastAsia" w:cs="仿宋_GB2312"/>
          <w:color w:val="auto"/>
          <w:sz w:val="32"/>
          <w:szCs w:val="32"/>
          <w:lang w:val="en-US" w:eastAsia="zh-CN"/>
        </w:rPr>
        <w:t>确保所有的专项资金皆纳入整体绩效目标中。</w:t>
      </w:r>
    </w:p>
    <w:p>
      <w:pPr>
        <w:spacing w:line="500" w:lineRule="exact"/>
        <w:ind w:firstLine="640" w:firstLineChars="200"/>
        <w:rPr>
          <w:rFonts w:cs="仿宋_GB2312"/>
          <w:color w:val="auto"/>
          <w:sz w:val="32"/>
          <w:szCs w:val="32"/>
        </w:rPr>
      </w:pPr>
      <w:r>
        <w:rPr>
          <w:rFonts w:hint="eastAsia" w:cs="仿宋_GB2312"/>
          <w:color w:val="auto"/>
          <w:sz w:val="32"/>
          <w:szCs w:val="32"/>
        </w:rPr>
        <w:t>3、加大对公务卡的使用力度</w:t>
      </w:r>
      <w:r>
        <w:rPr>
          <w:rFonts w:hint="eastAsia" w:cs="仿宋_GB2312"/>
          <w:color w:val="auto"/>
          <w:sz w:val="32"/>
          <w:szCs w:val="32"/>
          <w:lang w:eastAsia="zh-CN"/>
        </w:rPr>
        <w:t>。</w:t>
      </w:r>
      <w:r>
        <w:rPr>
          <w:rFonts w:hint="eastAsia" w:cs="仿宋_GB2312"/>
          <w:color w:val="auto"/>
          <w:sz w:val="32"/>
          <w:szCs w:val="32"/>
          <w:lang w:val="en-US" w:eastAsia="zh-CN"/>
        </w:rPr>
        <w:t>尽量</w:t>
      </w:r>
      <w:r>
        <w:rPr>
          <w:rFonts w:hint="eastAsia" w:cs="仿宋_GB2312"/>
          <w:color w:val="auto"/>
          <w:sz w:val="32"/>
          <w:szCs w:val="32"/>
        </w:rPr>
        <w:t>做到：不使用公务卡不予报账。</w:t>
      </w:r>
    </w:p>
    <w:p>
      <w:pPr>
        <w:spacing w:line="500" w:lineRule="exact"/>
        <w:ind w:firstLine="640" w:firstLineChars="200"/>
        <w:rPr>
          <w:rFonts w:hint="default" w:eastAsia="仿宋_GB2312" w:cs="仿宋_GB2312"/>
          <w:color w:val="auto"/>
          <w:sz w:val="32"/>
          <w:szCs w:val="32"/>
          <w:lang w:val="en-US" w:eastAsia="zh-CN"/>
        </w:rPr>
      </w:pPr>
      <w:r>
        <w:rPr>
          <w:rFonts w:hint="eastAsia" w:cs="仿宋_GB2312"/>
          <w:color w:val="auto"/>
          <w:sz w:val="32"/>
          <w:szCs w:val="32"/>
          <w:lang w:val="en-US" w:eastAsia="zh-CN"/>
        </w:rPr>
        <w:t>4</w:t>
      </w:r>
      <w:r>
        <w:rPr>
          <w:rFonts w:hint="eastAsia" w:cs="仿宋_GB2312"/>
          <w:color w:val="auto"/>
          <w:sz w:val="32"/>
          <w:szCs w:val="32"/>
        </w:rPr>
        <w:t>、政府采购全覆盖</w:t>
      </w:r>
      <w:r>
        <w:rPr>
          <w:rFonts w:hint="eastAsia" w:cs="仿宋_GB2312"/>
          <w:color w:val="auto"/>
          <w:sz w:val="32"/>
          <w:szCs w:val="32"/>
          <w:lang w:eastAsia="zh-CN"/>
        </w:rPr>
        <w:t>。</w:t>
      </w:r>
      <w:r>
        <w:rPr>
          <w:rFonts w:hint="eastAsia" w:cs="仿宋_GB2312"/>
          <w:color w:val="auto"/>
          <w:sz w:val="32"/>
          <w:szCs w:val="32"/>
          <w:lang w:val="en-US" w:eastAsia="zh-CN"/>
        </w:rPr>
        <w:t>尽量做到采购任何物品都通过“政采云”平台下单合规进行政府采购。</w:t>
      </w:r>
    </w:p>
    <w:p>
      <w:pPr>
        <w:spacing w:line="500" w:lineRule="exact"/>
        <w:ind w:firstLine="640" w:firstLineChars="200"/>
        <w:rPr>
          <w:rFonts w:hint="eastAsia" w:eastAsia="仿宋_GB2312" w:cs="仿宋_GB2312"/>
          <w:color w:val="auto"/>
          <w:sz w:val="32"/>
          <w:szCs w:val="32"/>
          <w:lang w:val="en-US" w:eastAsia="zh-CN"/>
        </w:rPr>
      </w:pPr>
      <w:r>
        <w:rPr>
          <w:rFonts w:hint="eastAsia" w:cs="仿宋_GB2312"/>
          <w:color w:val="auto"/>
          <w:sz w:val="32"/>
          <w:szCs w:val="32"/>
          <w:lang w:val="en-US" w:eastAsia="zh-CN"/>
        </w:rPr>
        <w:t>5、进一步提高资产内部管理的效能。根据资产管理过程中发现的问题，认真分析原因，研究切实可行的措施和办法，完善资产管理制度并对各资产管理者进行培训。落实固定资产清查盘点工作，定期盘点，摸清资产的使用情况，盘点发现应报废、已毁损等情况，及时进行处理。</w:t>
      </w:r>
    </w:p>
    <w:p>
      <w:pPr>
        <w:widowControl/>
        <w:spacing w:line="500" w:lineRule="exact"/>
        <w:ind w:firstLine="645"/>
        <w:jc w:val="left"/>
        <w:rPr>
          <w:rFonts w:eastAsia="黑体"/>
          <w:sz w:val="32"/>
          <w:szCs w:val="32"/>
        </w:rPr>
      </w:pPr>
      <w:r>
        <w:rPr>
          <w:rFonts w:hint="eastAsia" w:eastAsia="黑体" w:cs="黑体"/>
          <w:sz w:val="32"/>
          <w:szCs w:val="32"/>
        </w:rPr>
        <w:t>九、部门整体支出绩效自评结果拟应用和公开情况</w:t>
      </w:r>
    </w:p>
    <w:p>
      <w:pPr>
        <w:spacing w:line="500" w:lineRule="exact"/>
        <w:ind w:firstLine="640" w:firstLineChars="200"/>
        <w:rPr>
          <w:sz w:val="32"/>
          <w:szCs w:val="32"/>
        </w:rPr>
      </w:pPr>
      <w:r>
        <w:rPr>
          <w:rFonts w:hint="eastAsia" w:cs="仿宋_GB2312"/>
          <w:sz w:val="32"/>
          <w:szCs w:val="32"/>
        </w:rPr>
        <w:t>根据市财政相关部门统一部署，我单位</w:t>
      </w:r>
      <w:r>
        <w:rPr>
          <w:sz w:val="32"/>
          <w:szCs w:val="32"/>
        </w:rPr>
        <w:t>202</w:t>
      </w:r>
      <w:r>
        <w:rPr>
          <w:rFonts w:hint="eastAsia"/>
          <w:sz w:val="32"/>
          <w:szCs w:val="32"/>
        </w:rPr>
        <w:t>2</w:t>
      </w:r>
      <w:r>
        <w:rPr>
          <w:rFonts w:hint="eastAsia" w:cs="仿宋_GB2312"/>
          <w:sz w:val="32"/>
          <w:szCs w:val="32"/>
        </w:rPr>
        <w:t>年部门整体支出绩效自评情况将在单位门户网站公开，接受社会监督。对绩效自评工作中发现的问题及时整改，解决好绩效评价管理中存在的问题，提高工作效能，</w:t>
      </w:r>
      <w:r>
        <w:rPr>
          <w:sz w:val="32"/>
          <w:szCs w:val="32"/>
        </w:rPr>
        <w:t>优化部门管理，进一步提升单位工作效能和履责效益</w:t>
      </w:r>
      <w:r>
        <w:rPr>
          <w:rFonts w:hint="eastAsia" w:cs="仿宋_GB2312"/>
          <w:sz w:val="32"/>
          <w:szCs w:val="32"/>
        </w:rPr>
        <w:t>。根据部门整体支出绩效评价指标评分标准，</w:t>
      </w:r>
      <w:r>
        <w:rPr>
          <w:sz w:val="32"/>
          <w:szCs w:val="32"/>
        </w:rPr>
        <w:t>202</w:t>
      </w:r>
      <w:r>
        <w:rPr>
          <w:rFonts w:hint="eastAsia"/>
          <w:sz w:val="32"/>
          <w:szCs w:val="32"/>
        </w:rPr>
        <w:t>2</w:t>
      </w:r>
      <w:r>
        <w:rPr>
          <w:rFonts w:hint="eastAsia" w:cs="仿宋_GB2312"/>
          <w:sz w:val="32"/>
          <w:szCs w:val="32"/>
        </w:rPr>
        <w:t>年我单位部门整体绩效评价自评分为</w:t>
      </w:r>
      <w:r>
        <w:rPr>
          <w:sz w:val="32"/>
          <w:szCs w:val="32"/>
        </w:rPr>
        <w:t>9</w:t>
      </w:r>
      <w:r>
        <w:rPr>
          <w:rFonts w:hint="eastAsia"/>
          <w:sz w:val="32"/>
          <w:szCs w:val="32"/>
        </w:rPr>
        <w:t>8</w:t>
      </w:r>
      <w:r>
        <w:rPr>
          <w:rFonts w:hint="eastAsia" w:cs="仿宋_GB2312"/>
          <w:sz w:val="32"/>
          <w:szCs w:val="32"/>
        </w:rPr>
        <w:t>分。</w:t>
      </w:r>
    </w:p>
    <w:p>
      <w:pPr>
        <w:widowControl/>
        <w:spacing w:line="500" w:lineRule="exact"/>
        <w:ind w:firstLine="645"/>
        <w:jc w:val="left"/>
        <w:rPr>
          <w:rFonts w:eastAsia="黑体"/>
          <w:sz w:val="32"/>
          <w:szCs w:val="32"/>
        </w:rPr>
      </w:pPr>
      <w:r>
        <w:rPr>
          <w:rFonts w:hint="eastAsia" w:eastAsia="黑体" w:cs="黑体"/>
          <w:sz w:val="32"/>
          <w:szCs w:val="32"/>
        </w:rPr>
        <w:t>十、其他需要说明的情况</w:t>
      </w:r>
    </w:p>
    <w:p>
      <w:pPr>
        <w:widowControl/>
        <w:spacing w:line="500" w:lineRule="exact"/>
        <w:ind w:firstLine="645"/>
        <w:jc w:val="left"/>
        <w:rPr>
          <w:sz w:val="30"/>
          <w:szCs w:val="30"/>
        </w:rPr>
      </w:pPr>
      <w:r>
        <w:rPr>
          <w:rFonts w:hint="eastAsia" w:cs="仿宋_GB2312"/>
          <w:sz w:val="30"/>
          <w:szCs w:val="30"/>
        </w:rPr>
        <w:t>无。</w:t>
      </w:r>
    </w:p>
    <w:p>
      <w:pPr>
        <w:pStyle w:val="11"/>
        <w:spacing w:line="500" w:lineRule="exact"/>
        <w:rPr>
          <w:sz w:val="30"/>
          <w:szCs w:val="30"/>
        </w:rPr>
      </w:pPr>
    </w:p>
    <w:p>
      <w:pPr>
        <w:widowControl/>
        <w:spacing w:line="500" w:lineRule="exact"/>
        <w:ind w:firstLine="645"/>
        <w:jc w:val="left"/>
        <w:rPr>
          <w:sz w:val="30"/>
          <w:szCs w:val="30"/>
        </w:rPr>
      </w:pPr>
      <w:r>
        <w:rPr>
          <w:rFonts w:hint="eastAsia" w:cs="仿宋_GB2312"/>
          <w:sz w:val="30"/>
          <w:szCs w:val="30"/>
        </w:rPr>
        <w:t>附件：</w:t>
      </w:r>
    </w:p>
    <w:p>
      <w:pPr>
        <w:widowControl/>
        <w:spacing w:line="500" w:lineRule="exact"/>
        <w:ind w:firstLine="645"/>
        <w:jc w:val="left"/>
        <w:rPr>
          <w:sz w:val="30"/>
          <w:szCs w:val="30"/>
        </w:rPr>
      </w:pPr>
      <w:r>
        <w:rPr>
          <w:sz w:val="30"/>
          <w:szCs w:val="30"/>
        </w:rPr>
        <w:t>1.</w:t>
      </w:r>
      <w:r>
        <w:rPr>
          <w:rFonts w:hint="eastAsia" w:cs="仿宋_GB2312"/>
          <w:sz w:val="30"/>
          <w:szCs w:val="30"/>
        </w:rPr>
        <w:t>部门整体支出绩效评价基础数据表</w:t>
      </w:r>
    </w:p>
    <w:p>
      <w:pPr>
        <w:widowControl/>
        <w:spacing w:line="500" w:lineRule="exact"/>
        <w:ind w:firstLine="645"/>
        <w:jc w:val="left"/>
        <w:rPr>
          <w:sz w:val="30"/>
          <w:szCs w:val="30"/>
        </w:rPr>
      </w:pPr>
      <w:r>
        <w:rPr>
          <w:sz w:val="30"/>
          <w:szCs w:val="30"/>
        </w:rPr>
        <w:t>2.</w:t>
      </w:r>
      <w:r>
        <w:rPr>
          <w:rFonts w:hint="eastAsia" w:cs="仿宋_GB2312"/>
          <w:sz w:val="30"/>
          <w:szCs w:val="30"/>
        </w:rPr>
        <w:t>部门整体支出绩效自评表</w:t>
      </w:r>
    </w:p>
    <w:p>
      <w:pPr>
        <w:widowControl/>
        <w:spacing w:line="500" w:lineRule="exact"/>
        <w:ind w:firstLine="645"/>
        <w:jc w:val="left"/>
        <w:rPr>
          <w:rFonts w:eastAsia="仿宋"/>
          <w:color w:val="000000"/>
          <w:sz w:val="32"/>
          <w:szCs w:val="32"/>
        </w:rPr>
      </w:pPr>
      <w:r>
        <w:rPr>
          <w:sz w:val="30"/>
          <w:szCs w:val="30"/>
        </w:rPr>
        <w:t>3.</w:t>
      </w:r>
      <w:r>
        <w:rPr>
          <w:rFonts w:hint="eastAsia" w:cs="仿宋_GB2312"/>
          <w:sz w:val="30"/>
          <w:szCs w:val="30"/>
        </w:rPr>
        <w:t>项目支出绩效自评表</w:t>
      </w:r>
    </w:p>
    <w:p>
      <w:pPr>
        <w:spacing w:line="500" w:lineRule="exact"/>
      </w:pPr>
    </w:p>
    <w:p>
      <w:pPr>
        <w:spacing w:line="500" w:lineRule="exact"/>
      </w:pPr>
      <w:r>
        <w:t xml:space="preserve">    </w:t>
      </w:r>
    </w:p>
    <w:p>
      <w:pPr>
        <w:pStyle w:val="11"/>
        <w:spacing w:line="500" w:lineRule="exact"/>
        <w:rPr>
          <w:rFonts w:eastAsia="仿宋_GB2312"/>
          <w:sz w:val="30"/>
          <w:szCs w:val="30"/>
        </w:rPr>
      </w:pPr>
    </w:p>
    <w:p>
      <w:pPr>
        <w:widowControl/>
        <w:spacing w:line="500" w:lineRule="exact"/>
        <w:ind w:firstLine="645"/>
        <w:jc w:val="right"/>
        <w:rPr>
          <w:rFonts w:hint="eastAsia"/>
          <w:color w:val="000000" w:themeColor="text1"/>
          <w:sz w:val="30"/>
          <w:szCs w:val="30"/>
          <w:highlight w:val="none"/>
          <w:lang w:val="en-US" w:eastAsia="zh-CN"/>
        </w:rPr>
      </w:pPr>
      <w:r>
        <w:rPr>
          <w:rFonts w:hint="eastAsia"/>
          <w:color w:val="000000" w:themeColor="text1"/>
          <w:sz w:val="30"/>
          <w:szCs w:val="30"/>
          <w:highlight w:val="none"/>
          <w:lang w:val="en-US" w:eastAsia="zh-CN"/>
        </w:rPr>
        <w:t>中共桃源县委办公室</w:t>
      </w:r>
    </w:p>
    <w:p>
      <w:pPr>
        <w:widowControl/>
        <w:spacing w:line="500" w:lineRule="exact"/>
        <w:ind w:firstLine="645"/>
        <w:jc w:val="right"/>
        <w:rPr>
          <w:color w:val="FF0000"/>
          <w:sz w:val="30"/>
          <w:szCs w:val="30"/>
        </w:rPr>
      </w:pPr>
      <w:r>
        <w:rPr>
          <w:color w:val="000000" w:themeColor="text1"/>
          <w:sz w:val="30"/>
          <w:szCs w:val="30"/>
          <w:highlight w:val="none"/>
        </w:rPr>
        <w:t>202</w:t>
      </w:r>
      <w:r>
        <w:rPr>
          <w:rFonts w:hint="eastAsia"/>
          <w:color w:val="000000" w:themeColor="text1"/>
          <w:sz w:val="30"/>
          <w:szCs w:val="30"/>
          <w:highlight w:val="none"/>
          <w:lang w:val="en-US" w:eastAsia="zh-CN"/>
        </w:rPr>
        <w:t>3</w:t>
      </w:r>
      <w:r>
        <w:rPr>
          <w:rFonts w:hint="eastAsia" w:cs="仿宋_GB2312"/>
          <w:color w:val="000000" w:themeColor="text1"/>
          <w:sz w:val="30"/>
          <w:szCs w:val="30"/>
          <w:highlight w:val="none"/>
        </w:rPr>
        <w:t>年</w:t>
      </w:r>
      <w:r>
        <w:rPr>
          <w:rFonts w:hint="eastAsia"/>
          <w:color w:val="000000" w:themeColor="text1"/>
          <w:sz w:val="30"/>
          <w:szCs w:val="30"/>
          <w:highlight w:val="none"/>
          <w:lang w:val="en-US" w:eastAsia="zh-CN"/>
        </w:rPr>
        <w:t>9</w:t>
      </w:r>
      <w:r>
        <w:rPr>
          <w:rFonts w:hint="eastAsia" w:cs="仿宋_GB2312"/>
          <w:color w:val="000000" w:themeColor="text1"/>
          <w:sz w:val="30"/>
          <w:szCs w:val="30"/>
          <w:highlight w:val="none"/>
        </w:rPr>
        <w:t>月</w:t>
      </w:r>
      <w:r>
        <w:rPr>
          <w:color w:val="000000" w:themeColor="text1"/>
          <w:sz w:val="30"/>
          <w:szCs w:val="30"/>
          <w:highlight w:val="none"/>
        </w:rPr>
        <w:t>2</w:t>
      </w:r>
      <w:r>
        <w:rPr>
          <w:rFonts w:hint="eastAsia"/>
          <w:color w:val="000000" w:themeColor="text1"/>
          <w:sz w:val="30"/>
          <w:szCs w:val="30"/>
          <w:highlight w:val="none"/>
          <w:lang w:val="en-US" w:eastAsia="zh-CN"/>
        </w:rPr>
        <w:t>2</w:t>
      </w:r>
      <w:bookmarkStart w:id="0" w:name="_GoBack"/>
      <w:bookmarkEnd w:id="0"/>
      <w:r>
        <w:rPr>
          <w:rFonts w:hint="eastAsia" w:cs="仿宋_GB2312"/>
          <w:color w:val="000000" w:themeColor="text1"/>
          <w:sz w:val="30"/>
          <w:szCs w:val="30"/>
          <w:highlight w:val="non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11</w: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D570E316"/>
    <w:multiLevelType w:val="singleLevel"/>
    <w:tmpl w:val="D570E316"/>
    <w:lvl w:ilvl="0" w:tentative="0">
      <w:start w:val="1"/>
      <w:numFmt w:val="decimal"/>
      <w:suff w:val="nothing"/>
      <w:lvlText w:val="%1、"/>
      <w:lvlJc w:val="left"/>
    </w:lvl>
  </w:abstractNum>
  <w:abstractNum w:abstractNumId="2">
    <w:nsid w:val="E77E36D8"/>
    <w:multiLevelType w:val="singleLevel"/>
    <w:tmpl w:val="E77E36D8"/>
    <w:lvl w:ilvl="0" w:tentative="0">
      <w:start w:val="4"/>
      <w:numFmt w:val="chineseCounting"/>
      <w:suff w:val="nothing"/>
      <w:lvlText w:val="%1、"/>
      <w:lvlJc w:val="left"/>
      <w:rPr>
        <w:rFonts w:hint="eastAsia"/>
      </w:rPr>
    </w:lvl>
  </w:abstractNum>
  <w:abstractNum w:abstractNumId="3">
    <w:nsid w:val="F9CA2CB8"/>
    <w:multiLevelType w:val="singleLevel"/>
    <w:tmpl w:val="F9CA2CB8"/>
    <w:lvl w:ilvl="0" w:tentative="0">
      <w:start w:val="1"/>
      <w:numFmt w:val="decimal"/>
      <w:suff w:val="nothing"/>
      <w:lvlText w:val="%1、"/>
      <w:lvlJc w:val="left"/>
      <w:pPr>
        <w:ind w:left="64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FmYzhiYTAxYjllZWE1MGY1NjRiOWQ4MjBlNGExNWEifQ=="/>
  </w:docVars>
  <w:rsids>
    <w:rsidRoot w:val="D7F5C6E8"/>
    <w:rsid w:val="001415C9"/>
    <w:rsid w:val="001B55C7"/>
    <w:rsid w:val="0044049D"/>
    <w:rsid w:val="005E0FC8"/>
    <w:rsid w:val="0067612B"/>
    <w:rsid w:val="0093477F"/>
    <w:rsid w:val="0098274A"/>
    <w:rsid w:val="00A36229"/>
    <w:rsid w:val="00AF68E9"/>
    <w:rsid w:val="00C34DAD"/>
    <w:rsid w:val="00D8462A"/>
    <w:rsid w:val="00F256E7"/>
    <w:rsid w:val="00F9223E"/>
    <w:rsid w:val="00FE30B0"/>
    <w:rsid w:val="014F3E5A"/>
    <w:rsid w:val="01CF6287"/>
    <w:rsid w:val="01D926B2"/>
    <w:rsid w:val="02354A10"/>
    <w:rsid w:val="044B5C73"/>
    <w:rsid w:val="05A277B6"/>
    <w:rsid w:val="06C905A4"/>
    <w:rsid w:val="07F13FAE"/>
    <w:rsid w:val="08572FB2"/>
    <w:rsid w:val="08694ABD"/>
    <w:rsid w:val="0A7E17A6"/>
    <w:rsid w:val="0B5404DC"/>
    <w:rsid w:val="0DD90D3A"/>
    <w:rsid w:val="149756FB"/>
    <w:rsid w:val="179000BC"/>
    <w:rsid w:val="1D8A7671"/>
    <w:rsid w:val="1EF714FC"/>
    <w:rsid w:val="1EFD53CA"/>
    <w:rsid w:val="21B0346A"/>
    <w:rsid w:val="22DD2D2C"/>
    <w:rsid w:val="235C1499"/>
    <w:rsid w:val="26675339"/>
    <w:rsid w:val="27703055"/>
    <w:rsid w:val="2B165CA9"/>
    <w:rsid w:val="2C5E520C"/>
    <w:rsid w:val="2E6E5AA9"/>
    <w:rsid w:val="32197226"/>
    <w:rsid w:val="321E2D8E"/>
    <w:rsid w:val="322B6095"/>
    <w:rsid w:val="32F12805"/>
    <w:rsid w:val="34C741FD"/>
    <w:rsid w:val="35054965"/>
    <w:rsid w:val="35973B40"/>
    <w:rsid w:val="37E58B0E"/>
    <w:rsid w:val="38104D2C"/>
    <w:rsid w:val="38BE44A2"/>
    <w:rsid w:val="3ABE1FBB"/>
    <w:rsid w:val="3E10092B"/>
    <w:rsid w:val="3E315B3B"/>
    <w:rsid w:val="3FFD445E"/>
    <w:rsid w:val="40EB523D"/>
    <w:rsid w:val="422C3859"/>
    <w:rsid w:val="42731488"/>
    <w:rsid w:val="42D261AF"/>
    <w:rsid w:val="46EA5546"/>
    <w:rsid w:val="46FA5CD4"/>
    <w:rsid w:val="4A2762B8"/>
    <w:rsid w:val="4B756271"/>
    <w:rsid w:val="4D2E2B7B"/>
    <w:rsid w:val="4D6B3488"/>
    <w:rsid w:val="53C6520D"/>
    <w:rsid w:val="54244D3E"/>
    <w:rsid w:val="54A02FD1"/>
    <w:rsid w:val="54C142D5"/>
    <w:rsid w:val="573C3B4F"/>
    <w:rsid w:val="57BDA83F"/>
    <w:rsid w:val="5A81078E"/>
    <w:rsid w:val="5C7A5495"/>
    <w:rsid w:val="61AC338F"/>
    <w:rsid w:val="62391B1E"/>
    <w:rsid w:val="63654AA2"/>
    <w:rsid w:val="666E5614"/>
    <w:rsid w:val="677FA283"/>
    <w:rsid w:val="699C050B"/>
    <w:rsid w:val="6C5B074C"/>
    <w:rsid w:val="6CF675C5"/>
    <w:rsid w:val="6DE433D5"/>
    <w:rsid w:val="6FD0271D"/>
    <w:rsid w:val="6FD150C3"/>
    <w:rsid w:val="6FFB3938"/>
    <w:rsid w:val="72FB69CA"/>
    <w:rsid w:val="733D355C"/>
    <w:rsid w:val="73BB10EE"/>
    <w:rsid w:val="73EFEEE1"/>
    <w:rsid w:val="73FF14E9"/>
    <w:rsid w:val="75691F44"/>
    <w:rsid w:val="757D367B"/>
    <w:rsid w:val="75EFACF8"/>
    <w:rsid w:val="766E0C8E"/>
    <w:rsid w:val="76FFF031"/>
    <w:rsid w:val="77DFCB2B"/>
    <w:rsid w:val="79EFB67C"/>
    <w:rsid w:val="7B9FD535"/>
    <w:rsid w:val="7C3A0345"/>
    <w:rsid w:val="7CFF7E7A"/>
    <w:rsid w:val="7D080444"/>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page number"/>
    <w:basedOn w:val="8"/>
    <w:qFormat/>
    <w:uiPriority w:val="99"/>
  </w:style>
  <w:style w:type="character" w:styleId="10">
    <w:name w:val="annotation reference"/>
    <w:semiHidden/>
    <w:unhideWhenUsed/>
    <w:uiPriority w:val="99"/>
    <w:rPr>
      <w:sz w:val="21"/>
      <w:szCs w:val="21"/>
    </w:rPr>
  </w:style>
  <w:style w:type="paragraph" w:customStyle="1" w:styleId="11">
    <w:name w:val="BodyText"/>
    <w:basedOn w:val="1"/>
    <w:qFormat/>
    <w:uiPriority w:val="99"/>
    <w:pPr>
      <w:spacing w:after="120"/>
      <w:textAlignment w:val="baseline"/>
    </w:pPr>
    <w:rPr>
      <w:rFonts w:eastAsia="宋体"/>
      <w:sz w:val="32"/>
      <w:szCs w:val="32"/>
    </w:rPr>
  </w:style>
  <w:style w:type="character" w:customStyle="1" w:styleId="12">
    <w:name w:val="页脚 Char"/>
    <w:link w:val="4"/>
    <w:semiHidden/>
    <w:qFormat/>
    <w:uiPriority w:val="99"/>
    <w:rPr>
      <w:rFonts w:eastAsia="仿宋_GB2312"/>
      <w:sz w:val="18"/>
      <w:szCs w:val="18"/>
    </w:rPr>
  </w:style>
  <w:style w:type="paragraph" w:styleId="13">
    <w:name w:val="List Paragraph"/>
    <w:basedOn w:val="1"/>
    <w:qFormat/>
    <w:uiPriority w:val="99"/>
    <w:pPr>
      <w:ind w:firstLine="420" w:firstLineChars="200"/>
    </w:pPr>
    <w:rPr>
      <w:rFonts w:ascii="Calibri" w:hAnsi="Calibri" w:cs="Calibri"/>
    </w:rPr>
  </w:style>
  <w:style w:type="character" w:customStyle="1" w:styleId="14">
    <w:name w:val="页眉 Char"/>
    <w:link w:val="5"/>
    <w:qFormat/>
    <w:locked/>
    <w:uiPriority w:val="99"/>
    <w:rPr>
      <w:rFonts w:eastAsia="仿宋_GB2312"/>
      <w:kern w:val="2"/>
      <w:sz w:val="18"/>
      <w:szCs w:val="18"/>
    </w:rPr>
  </w:style>
  <w:style w:type="character" w:customStyle="1" w:styleId="15">
    <w:name w:val="批注文字 Char"/>
    <w:link w:val="2"/>
    <w:semiHidden/>
    <w:uiPriority w:val="99"/>
    <w:rPr>
      <w:rFonts w:eastAsia="仿宋_GB2312"/>
      <w:kern w:val="2"/>
      <w:sz w:val="28"/>
      <w:szCs w:val="28"/>
    </w:rPr>
  </w:style>
  <w:style w:type="character" w:customStyle="1" w:styleId="16">
    <w:name w:val="批注主题 Char"/>
    <w:link w:val="6"/>
    <w:semiHidden/>
    <w:uiPriority w:val="99"/>
    <w:rPr>
      <w:rFonts w:eastAsia="仿宋_GB2312"/>
      <w:b/>
      <w:bCs/>
      <w:kern w:val="2"/>
      <w:sz w:val="28"/>
      <w:szCs w:val="28"/>
    </w:rPr>
  </w:style>
  <w:style w:type="character" w:customStyle="1" w:styleId="17">
    <w:name w:val="批注框文本 Char"/>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天晟网络</Company>
  <Pages>11</Pages>
  <Words>828</Words>
  <Characters>4721</Characters>
  <Lines>39</Lines>
  <Paragraphs>11</Paragraphs>
  <TotalTime>10</TotalTime>
  <ScaleCrop>false</ScaleCrop>
  <LinksUpToDate>false</LinksUpToDate>
  <CharactersWithSpaces>5538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蓝忘机</cp:lastModifiedBy>
  <cp:lastPrinted>2022-09-05T08:06:00Z</cp:lastPrinted>
  <dcterms:modified xsi:type="dcterms:W3CDTF">2023-12-05T07:44:28Z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744831E86A9340A3AA630B806392470C</vt:lpwstr>
  </property>
</Properties>
</file>