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ind w:left="5742" w:hanging="5742" w:hangingChars="1300"/>
        <w:outlineLvl w:val="1"/>
        <w:rPr>
          <w:rFonts w:ascii="宋体" w:hAnsi="宋体" w:eastAsia="宋体" w:cs="宋体"/>
          <w:b/>
          <w:bCs/>
          <w:kern w:val="0"/>
          <w:sz w:val="44"/>
          <w:szCs w:val="44"/>
        </w:rPr>
      </w:pPr>
      <w:bookmarkStart w:id="0" w:name="_GoBack"/>
      <w:bookmarkEnd w:id="0"/>
      <w:r>
        <w:rPr>
          <w:rFonts w:hint="eastAsia" w:ascii="宋体" w:hAnsi="宋体" w:eastAsia="宋体" w:cs="宋体"/>
          <w:b/>
          <w:bCs/>
          <w:kern w:val="0"/>
          <w:sz w:val="44"/>
          <w:szCs w:val="44"/>
        </w:rPr>
        <w:t>桃源</w:t>
      </w:r>
      <w:r>
        <w:rPr>
          <w:rFonts w:ascii="宋体" w:hAnsi="宋体" w:eastAsia="宋体" w:cs="宋体"/>
          <w:b/>
          <w:bCs/>
          <w:kern w:val="0"/>
          <w:sz w:val="44"/>
          <w:szCs w:val="44"/>
        </w:rPr>
        <w:t>县住房和城乡建设局免予行政处罚事项、从轻行政处罚事项、减轻行</w:t>
      </w:r>
      <w:r>
        <w:rPr>
          <w:rFonts w:hint="eastAsia" w:ascii="宋体" w:hAnsi="宋体" w:eastAsia="宋体" w:cs="宋体"/>
          <w:b/>
          <w:bCs/>
          <w:kern w:val="0"/>
          <w:sz w:val="44"/>
          <w:szCs w:val="44"/>
        </w:rPr>
        <w:t xml:space="preserve">       </w:t>
      </w:r>
      <w:r>
        <w:rPr>
          <w:rFonts w:ascii="宋体" w:hAnsi="宋体" w:eastAsia="宋体" w:cs="宋体"/>
          <w:b/>
          <w:bCs/>
          <w:kern w:val="0"/>
          <w:sz w:val="44"/>
          <w:szCs w:val="44"/>
        </w:rPr>
        <w:t>政处罚事项清单</w:t>
      </w:r>
    </w:p>
    <w:p>
      <w:pPr>
        <w:widowControl/>
        <w:spacing w:line="480" w:lineRule="auto"/>
        <w:ind w:firstLine="5600" w:firstLineChars="1600"/>
        <w:rPr>
          <w:rFonts w:ascii="宋体" w:hAnsi="宋体" w:eastAsia="宋体" w:cs="宋体"/>
          <w:color w:val="333333"/>
          <w:kern w:val="0"/>
          <w:sz w:val="32"/>
          <w:szCs w:val="32"/>
        </w:rPr>
      </w:pPr>
      <w:r>
        <w:rPr>
          <w:rFonts w:hint="eastAsia" w:ascii="方正小标宋简体" w:hAnsi="宋体" w:eastAsia="方正小标宋简体" w:cs="宋体"/>
          <w:color w:val="333333"/>
          <w:spacing w:val="15"/>
          <w:kern w:val="0"/>
          <w:sz w:val="32"/>
          <w:szCs w:val="32"/>
        </w:rPr>
        <w:t>免予行政处罚事项清单</w:t>
      </w:r>
    </w:p>
    <w:tbl>
      <w:tblPr>
        <w:tblStyle w:val="6"/>
        <w:tblW w:w="1397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97"/>
        <w:gridCol w:w="3697"/>
        <w:gridCol w:w="3526"/>
        <w:gridCol w:w="3626"/>
        <w:gridCol w:w="1522"/>
        <w:gridCol w:w="11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497" w:type="dxa"/>
            <w:vAlign w:val="center"/>
          </w:tcPr>
          <w:p>
            <w:pPr>
              <w:widowControl/>
              <w:spacing w:beforeAutospacing="1" w:afterAutospacing="1"/>
              <w:jc w:val="center"/>
              <w:rPr>
                <w:rFonts w:ascii="宋体" w:hAnsi="宋体" w:eastAsia="宋体" w:cs="宋体"/>
                <w:kern w:val="0"/>
                <w:sz w:val="24"/>
                <w:szCs w:val="24"/>
              </w:rPr>
            </w:pPr>
            <w:r>
              <w:rPr>
                <w:rFonts w:hint="eastAsia" w:ascii="宋体" w:hAnsi="宋体" w:eastAsia="宋体" w:cs="宋体"/>
                <w:b/>
                <w:bCs/>
                <w:kern w:val="0"/>
              </w:rPr>
              <w:t>序号</w:t>
            </w:r>
          </w:p>
        </w:tc>
        <w:tc>
          <w:tcPr>
            <w:tcW w:w="3697"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处罚事项</w:t>
            </w:r>
          </w:p>
        </w:tc>
        <w:tc>
          <w:tcPr>
            <w:tcW w:w="3526" w:type="dxa"/>
            <w:vAlign w:val="center"/>
          </w:tcPr>
          <w:p>
            <w:pPr>
              <w:widowControl/>
              <w:spacing w:before="100" w:beforeAutospacing="1" w:after="100" w:afterAutospacing="1"/>
              <w:ind w:left="45" w:right="45"/>
              <w:jc w:val="center"/>
              <w:rPr>
                <w:rFonts w:ascii="宋体" w:hAnsi="宋体" w:eastAsia="宋体" w:cs="宋体"/>
                <w:kern w:val="0"/>
                <w:sz w:val="24"/>
                <w:szCs w:val="24"/>
              </w:rPr>
            </w:pPr>
            <w:r>
              <w:rPr>
                <w:rFonts w:hint="eastAsia" w:ascii="宋体" w:hAnsi="宋体" w:eastAsia="宋体" w:cs="宋体"/>
                <w:b/>
                <w:bCs/>
                <w:kern w:val="0"/>
              </w:rPr>
              <w:t>适用条件</w:t>
            </w:r>
          </w:p>
        </w:tc>
        <w:tc>
          <w:tcPr>
            <w:tcW w:w="3626"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法律依据</w:t>
            </w:r>
          </w:p>
        </w:tc>
        <w:tc>
          <w:tcPr>
            <w:tcW w:w="1522"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柔性执法措施</w:t>
            </w:r>
          </w:p>
        </w:tc>
        <w:tc>
          <w:tcPr>
            <w:tcW w:w="1109"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实施单位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1" w:hRule="atLeast"/>
        </w:trPr>
        <w:tc>
          <w:tcPr>
            <w:tcW w:w="497" w:type="dxa"/>
            <w:vAlign w:val="center"/>
          </w:tcPr>
          <w:p>
            <w:pPr>
              <w:widowControl/>
              <w:spacing w:beforeAutospacing="1" w:afterAutospacing="1"/>
              <w:jc w:val="center"/>
              <w:textAlignment w:val="center"/>
              <w:rPr>
                <w:rFonts w:ascii="宋体" w:hAnsi="宋体" w:eastAsia="宋体" w:cs="宋体"/>
                <w:kern w:val="0"/>
                <w:sz w:val="24"/>
                <w:szCs w:val="24"/>
              </w:rPr>
            </w:pPr>
            <w:r>
              <w:rPr>
                <w:rFonts w:hint="eastAsia" w:ascii="仿宋_GB2312" w:hAnsi="宋体" w:eastAsia="仿宋_GB2312" w:cs="宋体"/>
                <w:kern w:val="0"/>
                <w:sz w:val="24"/>
                <w:szCs w:val="24"/>
              </w:rPr>
              <w:t>1</w:t>
            </w:r>
          </w:p>
        </w:tc>
        <w:tc>
          <w:tcPr>
            <w:tcW w:w="3697"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对未按期办理工程竣工验收备案的处罚</w:t>
            </w:r>
          </w:p>
        </w:tc>
        <w:tc>
          <w:tcPr>
            <w:tcW w:w="3526"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责任单位限期完成整改，且未造成工作失误的</w:t>
            </w:r>
          </w:p>
        </w:tc>
        <w:tc>
          <w:tcPr>
            <w:tcW w:w="3626"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《中华人民共和国建筑工程质量管理条例》第四十九条</w:t>
            </w:r>
          </w:p>
        </w:tc>
        <w:tc>
          <w:tcPr>
            <w:tcW w:w="1522"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批评教育、约谈警示</w:t>
            </w:r>
          </w:p>
        </w:tc>
        <w:tc>
          <w:tcPr>
            <w:tcW w:w="1109"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仿宋_GB2312" w:hAnsi="宋体" w:eastAsia="仿宋_GB2312" w:cs="宋体"/>
                <w:kern w:val="0"/>
                <w:sz w:val="24"/>
                <w:szCs w:val="24"/>
              </w:rPr>
              <w:t>县住房和城乡建设局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1" w:hRule="atLeast"/>
        </w:trPr>
        <w:tc>
          <w:tcPr>
            <w:tcW w:w="497" w:type="dxa"/>
            <w:vAlign w:val="center"/>
          </w:tcPr>
          <w:p>
            <w:pPr>
              <w:widowControl/>
              <w:spacing w:beforeAutospacing="1" w:afterAutospacing="1"/>
              <w:jc w:val="center"/>
              <w:textAlignment w:val="center"/>
              <w:rPr>
                <w:rFonts w:ascii="宋体" w:hAnsi="宋体" w:eastAsia="宋体" w:cs="宋体"/>
                <w:kern w:val="0"/>
                <w:sz w:val="24"/>
                <w:szCs w:val="24"/>
              </w:rPr>
            </w:pPr>
            <w:r>
              <w:rPr>
                <w:rFonts w:hint="eastAsia" w:ascii="仿宋_GB2312" w:hAnsi="宋体" w:eastAsia="仿宋_GB2312" w:cs="宋体"/>
                <w:kern w:val="0"/>
                <w:sz w:val="24"/>
                <w:szCs w:val="24"/>
              </w:rPr>
              <w:t>2</w:t>
            </w:r>
          </w:p>
        </w:tc>
        <w:tc>
          <w:tcPr>
            <w:tcW w:w="3697"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对施工单位不向建设单位出具质量保修书，或者质量保修的内容、期限违反规定行为的处罚</w:t>
            </w:r>
          </w:p>
        </w:tc>
        <w:tc>
          <w:tcPr>
            <w:tcW w:w="3526"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责任单位拖延履行保修义务时日不长，及时整改的</w:t>
            </w:r>
          </w:p>
        </w:tc>
        <w:tc>
          <w:tcPr>
            <w:tcW w:w="3626"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《建筑业企业资质管理规定》第二十三条第（九）项</w:t>
            </w:r>
          </w:p>
        </w:tc>
        <w:tc>
          <w:tcPr>
            <w:tcW w:w="1522"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批评教育、约谈警示</w:t>
            </w:r>
          </w:p>
        </w:tc>
        <w:tc>
          <w:tcPr>
            <w:tcW w:w="1109"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仿宋_GB2312" w:hAnsi="宋体" w:eastAsia="仿宋_GB2312" w:cs="宋体"/>
                <w:kern w:val="0"/>
                <w:sz w:val="24"/>
                <w:szCs w:val="24"/>
              </w:rPr>
              <w:t>县住房和城乡建设局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1" w:hRule="atLeast"/>
        </w:trPr>
        <w:tc>
          <w:tcPr>
            <w:tcW w:w="497" w:type="dxa"/>
            <w:vAlign w:val="center"/>
          </w:tcPr>
          <w:p>
            <w:pPr>
              <w:widowControl/>
              <w:spacing w:beforeAutospacing="1" w:afterAutospacing="1"/>
              <w:jc w:val="center"/>
              <w:textAlignment w:val="center"/>
              <w:rPr>
                <w:rFonts w:ascii="宋体" w:hAnsi="宋体" w:eastAsia="宋体" w:cs="宋体"/>
                <w:kern w:val="0"/>
                <w:sz w:val="24"/>
                <w:szCs w:val="24"/>
              </w:rPr>
            </w:pPr>
            <w:r>
              <w:rPr>
                <w:rFonts w:hint="eastAsia" w:ascii="仿宋_GB2312" w:hAnsi="宋体" w:eastAsia="仿宋_GB2312" w:cs="宋体"/>
                <w:kern w:val="0"/>
                <w:sz w:val="24"/>
                <w:szCs w:val="24"/>
              </w:rPr>
              <w:t>3</w:t>
            </w:r>
          </w:p>
        </w:tc>
        <w:tc>
          <w:tcPr>
            <w:tcW w:w="3697"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对建设单位不移交建设项目竣工档案行为的处罚</w:t>
            </w:r>
          </w:p>
        </w:tc>
        <w:tc>
          <w:tcPr>
            <w:tcW w:w="3526"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责任单位限期完成整改，且未造成工作失误的</w:t>
            </w:r>
          </w:p>
        </w:tc>
        <w:tc>
          <w:tcPr>
            <w:tcW w:w="3626"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《中华人民共和国建筑工程质量管理条例》第四十九条</w:t>
            </w:r>
          </w:p>
        </w:tc>
        <w:tc>
          <w:tcPr>
            <w:tcW w:w="1522"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批评教育、约谈警示</w:t>
            </w:r>
          </w:p>
        </w:tc>
        <w:tc>
          <w:tcPr>
            <w:tcW w:w="1109"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仿宋_GB2312" w:hAnsi="宋体" w:eastAsia="仿宋_GB2312" w:cs="宋体"/>
                <w:kern w:val="0"/>
                <w:sz w:val="24"/>
                <w:szCs w:val="24"/>
              </w:rPr>
              <w:t>县住房和城乡建设局</w:t>
            </w:r>
          </w:p>
        </w:tc>
      </w:tr>
    </w:tbl>
    <w:p>
      <w:pPr>
        <w:widowControl/>
        <w:spacing w:line="480" w:lineRule="auto"/>
        <w:ind w:firstLine="5250" w:firstLineChars="1500"/>
        <w:rPr>
          <w:rFonts w:ascii="方正小标宋简体" w:hAnsi="宋体" w:eastAsia="方正小标宋简体" w:cs="宋体"/>
          <w:color w:val="333333"/>
          <w:spacing w:val="15"/>
          <w:kern w:val="0"/>
          <w:sz w:val="32"/>
          <w:szCs w:val="32"/>
        </w:rPr>
      </w:pPr>
      <w:r>
        <w:rPr>
          <w:rFonts w:hint="eastAsia" w:ascii="方正小标宋简体" w:hAnsi="宋体" w:eastAsia="方正小标宋简体" w:cs="宋体"/>
          <w:color w:val="333333"/>
          <w:spacing w:val="15"/>
          <w:kern w:val="0"/>
          <w:sz w:val="32"/>
          <w:szCs w:val="32"/>
        </w:rPr>
        <w:t>从轻行政处罚事项清单</w:t>
      </w:r>
    </w:p>
    <w:tbl>
      <w:tblPr>
        <w:tblStyle w:val="6"/>
        <w:tblW w:w="1402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13"/>
        <w:gridCol w:w="2280"/>
        <w:gridCol w:w="3207"/>
        <w:gridCol w:w="2765"/>
        <w:gridCol w:w="2437"/>
        <w:gridCol w:w="1667"/>
        <w:gridCol w:w="1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513" w:type="dxa"/>
            <w:vAlign w:val="center"/>
          </w:tcPr>
          <w:p>
            <w:pPr>
              <w:widowControl/>
              <w:spacing w:beforeAutospacing="1" w:afterAutospacing="1"/>
              <w:jc w:val="center"/>
              <w:rPr>
                <w:rFonts w:ascii="宋体" w:hAnsi="宋体" w:eastAsia="宋体" w:cs="宋体"/>
                <w:kern w:val="0"/>
                <w:sz w:val="24"/>
                <w:szCs w:val="24"/>
              </w:rPr>
            </w:pPr>
            <w:r>
              <w:rPr>
                <w:rFonts w:hint="eastAsia" w:ascii="宋体" w:hAnsi="宋体" w:eastAsia="宋体" w:cs="宋体"/>
                <w:b/>
                <w:bCs/>
                <w:kern w:val="0"/>
              </w:rPr>
              <w:t>序号</w:t>
            </w:r>
          </w:p>
        </w:tc>
        <w:tc>
          <w:tcPr>
            <w:tcW w:w="2280"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处罚事项</w:t>
            </w:r>
          </w:p>
        </w:tc>
        <w:tc>
          <w:tcPr>
            <w:tcW w:w="3207"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适用条件</w:t>
            </w:r>
          </w:p>
        </w:tc>
        <w:tc>
          <w:tcPr>
            <w:tcW w:w="2765"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自由裁量处罚幅度</w:t>
            </w:r>
          </w:p>
        </w:tc>
        <w:tc>
          <w:tcPr>
            <w:tcW w:w="2437"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法律依据</w:t>
            </w:r>
          </w:p>
        </w:tc>
        <w:tc>
          <w:tcPr>
            <w:tcW w:w="1667"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柔性执法措施</w:t>
            </w:r>
          </w:p>
        </w:tc>
        <w:tc>
          <w:tcPr>
            <w:tcW w:w="1154"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实施单位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61" w:hRule="atLeast"/>
        </w:trPr>
        <w:tc>
          <w:tcPr>
            <w:tcW w:w="513"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c>
          <w:tcPr>
            <w:tcW w:w="2280"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施工现场存在一般安全隐患的</w:t>
            </w:r>
          </w:p>
        </w:tc>
        <w:tc>
          <w:tcPr>
            <w:tcW w:w="3207"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施工单位及时纠正违法行为，且未造成危害后果的</w:t>
            </w:r>
          </w:p>
        </w:tc>
        <w:tc>
          <w:tcPr>
            <w:tcW w:w="2765"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危害后果轻微，主动消除或减轻违法行为后果：责令限期改正，处5000元以下罚款；对负有直接责任的项目经理、安全员和特种作业人员等持证人员，降低资格等级或吊销资格证书</w:t>
            </w:r>
          </w:p>
        </w:tc>
        <w:tc>
          <w:tcPr>
            <w:tcW w:w="2437"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《行政处罚法》第二十七条第一款</w:t>
            </w:r>
          </w:p>
        </w:tc>
        <w:tc>
          <w:tcPr>
            <w:tcW w:w="1667"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督促整改</w:t>
            </w:r>
          </w:p>
        </w:tc>
        <w:tc>
          <w:tcPr>
            <w:tcW w:w="1154"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仿宋_GB2312" w:hAnsi="宋体" w:eastAsia="仿宋_GB2312" w:cs="宋体"/>
                <w:kern w:val="0"/>
                <w:sz w:val="24"/>
                <w:szCs w:val="24"/>
              </w:rPr>
              <w:t>县住房和城乡建设局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61" w:hRule="atLeast"/>
        </w:trPr>
        <w:tc>
          <w:tcPr>
            <w:tcW w:w="513"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仿宋_GB2312" w:hAnsi="宋体" w:eastAsia="仿宋_GB2312" w:cs="宋体"/>
                <w:kern w:val="0"/>
                <w:sz w:val="24"/>
                <w:szCs w:val="24"/>
              </w:rPr>
              <w:t>2</w:t>
            </w:r>
          </w:p>
        </w:tc>
        <w:tc>
          <w:tcPr>
            <w:tcW w:w="2280"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参建单位项目管理人员未按规定到岗履职的</w:t>
            </w:r>
          </w:p>
        </w:tc>
        <w:tc>
          <w:tcPr>
            <w:tcW w:w="3207"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责任单位限期完成整改，且未造成工作失误的</w:t>
            </w:r>
          </w:p>
        </w:tc>
        <w:tc>
          <w:tcPr>
            <w:tcW w:w="2765" w:type="dxa"/>
            <w:vAlign w:val="center"/>
          </w:tcPr>
          <w:p>
            <w:pPr>
              <w:widowControl/>
              <w:spacing w:before="100" w:beforeAutospacing="1" w:after="100" w:afterAutospacing="1" w:line="60" w:lineRule="auto"/>
              <w:ind w:left="45" w:right="45"/>
              <w:rPr>
                <w:rFonts w:ascii="宋体" w:hAnsi="宋体" w:eastAsia="宋体" w:cs="宋体"/>
                <w:kern w:val="0"/>
                <w:sz w:val="24"/>
                <w:szCs w:val="24"/>
              </w:rPr>
            </w:pPr>
            <w:r>
              <w:rPr>
                <w:rFonts w:hint="eastAsia" w:ascii="仿宋_GB2312" w:hAnsi="宋体" w:eastAsia="仿宋_GB2312" w:cs="宋体"/>
                <w:kern w:val="0"/>
                <w:sz w:val="24"/>
                <w:szCs w:val="24"/>
              </w:rPr>
              <w:t>未造成危害后果或造成轻微危害后果的：对参建单位处1万元以上1.2万元以下的罚款；对直接负责的主管人员和其他直接责任人员处1000元以上2000元以下的罚款</w:t>
            </w:r>
          </w:p>
        </w:tc>
        <w:tc>
          <w:tcPr>
            <w:tcW w:w="2437"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《行政处罚法》第二十七条第一款</w:t>
            </w:r>
          </w:p>
        </w:tc>
        <w:tc>
          <w:tcPr>
            <w:tcW w:w="1667"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限期整改</w:t>
            </w:r>
          </w:p>
        </w:tc>
        <w:tc>
          <w:tcPr>
            <w:tcW w:w="1154"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仿宋_GB2312" w:hAnsi="宋体" w:eastAsia="仿宋_GB2312" w:cs="宋体"/>
                <w:kern w:val="0"/>
                <w:sz w:val="24"/>
                <w:szCs w:val="24"/>
              </w:rPr>
              <w:t>县住房和城乡建设局</w:t>
            </w:r>
          </w:p>
        </w:tc>
      </w:tr>
    </w:tbl>
    <w:p>
      <w:pPr>
        <w:widowControl/>
        <w:spacing w:line="480" w:lineRule="auto"/>
        <w:ind w:firstLine="5950" w:firstLineChars="1700"/>
        <w:jc w:val="left"/>
        <w:rPr>
          <w:rFonts w:ascii="方正小标宋简体" w:hAnsi="宋体" w:eastAsia="方正小标宋简体" w:cs="宋体"/>
          <w:color w:val="333333"/>
          <w:spacing w:val="15"/>
          <w:kern w:val="0"/>
          <w:sz w:val="32"/>
          <w:szCs w:val="32"/>
        </w:rPr>
      </w:pPr>
      <w:r>
        <w:rPr>
          <w:rFonts w:ascii="方正小标宋简体" w:hAnsi="宋体" w:eastAsia="方正小标宋简体" w:cs="宋体"/>
          <w:color w:val="333333"/>
          <w:spacing w:val="15"/>
          <w:kern w:val="0"/>
          <w:sz w:val="32"/>
          <w:szCs w:val="32"/>
        </w:rPr>
        <w:br w:type="page"/>
      </w:r>
    </w:p>
    <w:p>
      <w:pPr>
        <w:widowControl/>
        <w:spacing w:line="480" w:lineRule="auto"/>
        <w:ind w:firstLine="5950" w:firstLineChars="1700"/>
        <w:jc w:val="left"/>
        <w:rPr>
          <w:rFonts w:ascii="宋体" w:hAnsi="宋体" w:eastAsia="宋体" w:cs="宋体"/>
          <w:color w:val="333333"/>
          <w:kern w:val="0"/>
          <w:sz w:val="24"/>
          <w:szCs w:val="24"/>
        </w:rPr>
      </w:pPr>
      <w:r>
        <w:rPr>
          <w:rFonts w:hint="eastAsia" w:ascii="方正小标宋简体" w:hAnsi="宋体" w:eastAsia="方正小标宋简体" w:cs="宋体"/>
          <w:color w:val="333333"/>
          <w:spacing w:val="15"/>
          <w:kern w:val="0"/>
          <w:sz w:val="32"/>
          <w:szCs w:val="32"/>
        </w:rPr>
        <w:t>减轻行政处罚事项清单</w:t>
      </w:r>
    </w:p>
    <w:tbl>
      <w:tblPr>
        <w:tblStyle w:val="6"/>
        <w:tblW w:w="1388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1"/>
        <w:gridCol w:w="2208"/>
        <w:gridCol w:w="3060"/>
        <w:gridCol w:w="3312"/>
        <w:gridCol w:w="2040"/>
        <w:gridCol w:w="1830"/>
        <w:gridCol w:w="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461" w:type="dxa"/>
            <w:vAlign w:val="center"/>
          </w:tcPr>
          <w:p>
            <w:pPr>
              <w:widowControl/>
              <w:spacing w:beforeAutospacing="1" w:afterAutospacing="1"/>
              <w:jc w:val="center"/>
              <w:rPr>
                <w:rFonts w:ascii="宋体" w:hAnsi="宋体" w:eastAsia="宋体" w:cs="宋体"/>
                <w:kern w:val="0"/>
                <w:sz w:val="24"/>
                <w:szCs w:val="24"/>
              </w:rPr>
            </w:pPr>
            <w:r>
              <w:rPr>
                <w:rFonts w:hint="eastAsia" w:ascii="宋体" w:hAnsi="宋体" w:eastAsia="宋体" w:cs="宋体"/>
                <w:b/>
                <w:bCs/>
                <w:kern w:val="0"/>
              </w:rPr>
              <w:t>序号</w:t>
            </w:r>
          </w:p>
        </w:tc>
        <w:tc>
          <w:tcPr>
            <w:tcW w:w="2208"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处罚事项</w:t>
            </w:r>
          </w:p>
        </w:tc>
        <w:tc>
          <w:tcPr>
            <w:tcW w:w="3060"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适用条件</w:t>
            </w:r>
          </w:p>
        </w:tc>
        <w:tc>
          <w:tcPr>
            <w:tcW w:w="3312"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自由裁量处罚幅度</w:t>
            </w:r>
          </w:p>
        </w:tc>
        <w:tc>
          <w:tcPr>
            <w:tcW w:w="2040"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法律依据</w:t>
            </w:r>
          </w:p>
        </w:tc>
        <w:tc>
          <w:tcPr>
            <w:tcW w:w="1830"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柔性执法措施</w:t>
            </w:r>
          </w:p>
        </w:tc>
        <w:tc>
          <w:tcPr>
            <w:tcW w:w="978"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宋体" w:hAnsi="宋体" w:eastAsia="宋体" w:cs="宋体"/>
                <w:b/>
                <w:bCs/>
                <w:kern w:val="0"/>
              </w:rPr>
              <w:t>实施单位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3" w:hRule="atLeast"/>
        </w:trPr>
        <w:tc>
          <w:tcPr>
            <w:tcW w:w="461" w:type="dxa"/>
            <w:vAlign w:val="center"/>
          </w:tcPr>
          <w:p>
            <w:pPr>
              <w:widowControl/>
              <w:spacing w:beforeAutospacing="1" w:afterAutospacing="1"/>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c>
          <w:tcPr>
            <w:tcW w:w="2208" w:type="dxa"/>
            <w:vAlign w:val="center"/>
          </w:tcPr>
          <w:p>
            <w:pPr>
              <w:widowControl/>
              <w:spacing w:beforeAutospacing="1" w:afterAutospacing="1"/>
              <w:ind w:left="45" w:right="45"/>
              <w:jc w:val="left"/>
              <w:rPr>
                <w:rFonts w:ascii="宋体" w:hAnsi="宋体" w:eastAsia="宋体" w:cs="宋体"/>
                <w:kern w:val="0"/>
                <w:sz w:val="24"/>
                <w:szCs w:val="24"/>
              </w:rPr>
            </w:pPr>
            <w:r>
              <w:rPr>
                <w:rFonts w:hint="eastAsia" w:ascii="仿宋_GB2312" w:hAnsi="宋体" w:eastAsia="仿宋_GB2312" w:cs="宋体"/>
                <w:kern w:val="0"/>
                <w:sz w:val="24"/>
                <w:szCs w:val="24"/>
              </w:rPr>
              <w:t>对占用城市道路期满或者挖掘城市道路后不及时清理现场的行为的处罚</w:t>
            </w:r>
          </w:p>
        </w:tc>
        <w:tc>
          <w:tcPr>
            <w:tcW w:w="3060" w:type="dxa"/>
            <w:vAlign w:val="center"/>
          </w:tcPr>
          <w:p>
            <w:pPr>
              <w:widowControl/>
              <w:spacing w:beforeAutospacing="1" w:afterAutospacing="1"/>
              <w:ind w:left="45" w:right="45"/>
              <w:jc w:val="left"/>
              <w:rPr>
                <w:rFonts w:ascii="宋体" w:hAnsi="宋体" w:eastAsia="宋体" w:cs="宋体"/>
                <w:kern w:val="0"/>
                <w:sz w:val="24"/>
                <w:szCs w:val="24"/>
              </w:rPr>
            </w:pPr>
            <w:r>
              <w:rPr>
                <w:rFonts w:hint="eastAsia" w:ascii="仿宋_GB2312" w:hAnsi="宋体" w:eastAsia="仿宋_GB2312" w:cs="宋体"/>
                <w:kern w:val="0"/>
                <w:sz w:val="24"/>
                <w:szCs w:val="24"/>
              </w:rPr>
              <w:t>当事人积极配合调查，且被查处之前已提交申请但还未取得许可的</w:t>
            </w:r>
          </w:p>
        </w:tc>
        <w:tc>
          <w:tcPr>
            <w:tcW w:w="3312" w:type="dxa"/>
            <w:vAlign w:val="center"/>
          </w:tcPr>
          <w:p>
            <w:pPr>
              <w:widowControl/>
              <w:spacing w:beforeAutospacing="1" w:afterAutospacing="1"/>
              <w:ind w:left="45" w:right="45"/>
              <w:jc w:val="left"/>
              <w:rPr>
                <w:rFonts w:ascii="宋体" w:hAnsi="宋体" w:eastAsia="宋体" w:cs="宋体"/>
                <w:kern w:val="0"/>
                <w:sz w:val="24"/>
                <w:szCs w:val="24"/>
              </w:rPr>
            </w:pPr>
            <w:r>
              <w:rPr>
                <w:rFonts w:hint="eastAsia" w:ascii="仿宋_GB2312" w:hAnsi="宋体" w:eastAsia="仿宋_GB2312" w:cs="宋体"/>
                <w:kern w:val="0"/>
                <w:sz w:val="24"/>
                <w:szCs w:val="24"/>
              </w:rPr>
              <w:t>由市政工程行政主管部门或者其他有关部门责令限期改正，可以处以2万元以下的罚款；造成损失的，应当依法承担赔偿责任</w:t>
            </w:r>
          </w:p>
        </w:tc>
        <w:tc>
          <w:tcPr>
            <w:tcW w:w="2040" w:type="dxa"/>
            <w:vAlign w:val="center"/>
          </w:tcPr>
          <w:p>
            <w:pPr>
              <w:widowControl/>
              <w:spacing w:beforeAutospacing="1" w:afterAutospacing="1"/>
              <w:ind w:left="45" w:right="45"/>
              <w:jc w:val="left"/>
              <w:rPr>
                <w:rFonts w:ascii="宋体" w:hAnsi="宋体" w:eastAsia="宋体" w:cs="宋体"/>
                <w:kern w:val="0"/>
                <w:sz w:val="24"/>
                <w:szCs w:val="24"/>
              </w:rPr>
            </w:pPr>
            <w:r>
              <w:rPr>
                <w:rFonts w:hint="eastAsia" w:ascii="仿宋_GB2312" w:hAnsi="宋体" w:eastAsia="仿宋_GB2312" w:cs="宋体"/>
                <w:kern w:val="0"/>
                <w:sz w:val="24"/>
                <w:szCs w:val="24"/>
              </w:rPr>
              <w:t>《中华人民共和国行政处罚法》第三十二条；《城市道路管理条例》第二十七条第（一）项、第四十二条第（三）项</w:t>
            </w:r>
          </w:p>
        </w:tc>
        <w:tc>
          <w:tcPr>
            <w:tcW w:w="1830" w:type="dxa"/>
            <w:vAlign w:val="center"/>
          </w:tcPr>
          <w:p>
            <w:pPr>
              <w:widowControl/>
              <w:spacing w:beforeAutospacing="1" w:afterAutospacing="1"/>
              <w:ind w:left="45" w:right="45"/>
              <w:jc w:val="left"/>
              <w:rPr>
                <w:rFonts w:ascii="宋体" w:hAnsi="宋体" w:eastAsia="宋体" w:cs="宋体"/>
                <w:kern w:val="0"/>
                <w:sz w:val="24"/>
                <w:szCs w:val="24"/>
              </w:rPr>
            </w:pPr>
            <w:r>
              <w:rPr>
                <w:rFonts w:hint="eastAsia" w:ascii="仿宋_GB2312" w:hAnsi="宋体" w:eastAsia="仿宋_GB2312" w:cs="宋体"/>
                <w:kern w:val="0"/>
                <w:sz w:val="24"/>
                <w:szCs w:val="24"/>
              </w:rPr>
              <w:t>观察、预警提示、说服教育、劝导示范、行政建议、行政指导、行政约谈、行政告诫、行政回访</w:t>
            </w:r>
          </w:p>
        </w:tc>
        <w:tc>
          <w:tcPr>
            <w:tcW w:w="978"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仿宋_GB2312" w:hAnsi="宋体" w:eastAsia="仿宋_GB2312" w:cs="宋体"/>
                <w:kern w:val="0"/>
                <w:sz w:val="24"/>
                <w:szCs w:val="24"/>
              </w:rPr>
              <w:t>县住房和城乡建设局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3" w:hRule="atLeast"/>
        </w:trPr>
        <w:tc>
          <w:tcPr>
            <w:tcW w:w="461" w:type="dxa"/>
            <w:vAlign w:val="center"/>
          </w:tcPr>
          <w:p>
            <w:pPr>
              <w:widowControl/>
              <w:spacing w:beforeAutospacing="1" w:afterAutospacing="1"/>
              <w:jc w:val="center"/>
              <w:rPr>
                <w:rFonts w:ascii="宋体" w:hAnsi="宋体" w:eastAsia="宋体" w:cs="宋体"/>
                <w:kern w:val="0"/>
                <w:sz w:val="24"/>
                <w:szCs w:val="24"/>
              </w:rPr>
            </w:pPr>
            <w:r>
              <w:rPr>
                <w:rFonts w:hint="eastAsia" w:ascii="仿宋_GB2312" w:hAnsi="宋体" w:eastAsia="仿宋_GB2312" w:cs="宋体"/>
                <w:kern w:val="0"/>
                <w:sz w:val="24"/>
                <w:szCs w:val="24"/>
              </w:rPr>
              <w:t>2</w:t>
            </w:r>
          </w:p>
        </w:tc>
        <w:tc>
          <w:tcPr>
            <w:tcW w:w="2208"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企业未落实主要负责人带班检查安全生产制度的</w:t>
            </w:r>
          </w:p>
        </w:tc>
        <w:tc>
          <w:tcPr>
            <w:tcW w:w="3060"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企业及时纠正，且未造成严重后果的</w:t>
            </w:r>
          </w:p>
        </w:tc>
        <w:tc>
          <w:tcPr>
            <w:tcW w:w="3312"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对企业责令停业整顿，直至改正违法行为；对施工单位的主要负责人、项目负责人处2万元以上6万元以下的罚款</w:t>
            </w:r>
          </w:p>
        </w:tc>
        <w:tc>
          <w:tcPr>
            <w:tcW w:w="2040"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《建设工程安全生产管理条例》第六十六条</w:t>
            </w:r>
          </w:p>
        </w:tc>
        <w:tc>
          <w:tcPr>
            <w:tcW w:w="1830" w:type="dxa"/>
            <w:vAlign w:val="center"/>
          </w:tcPr>
          <w:p>
            <w:pPr>
              <w:widowControl/>
              <w:spacing w:beforeAutospacing="1" w:afterAutospacing="1"/>
              <w:ind w:left="45" w:right="45"/>
              <w:rPr>
                <w:rFonts w:ascii="宋体" w:hAnsi="宋体" w:eastAsia="宋体" w:cs="宋体"/>
                <w:kern w:val="0"/>
                <w:sz w:val="24"/>
                <w:szCs w:val="24"/>
              </w:rPr>
            </w:pPr>
            <w:r>
              <w:rPr>
                <w:rFonts w:hint="eastAsia" w:ascii="仿宋_GB2312" w:hAnsi="宋体" w:eastAsia="仿宋_GB2312" w:cs="宋体"/>
                <w:kern w:val="0"/>
                <w:sz w:val="24"/>
                <w:szCs w:val="24"/>
              </w:rPr>
              <w:t>限期改正</w:t>
            </w:r>
          </w:p>
        </w:tc>
        <w:tc>
          <w:tcPr>
            <w:tcW w:w="978" w:type="dxa"/>
            <w:vAlign w:val="center"/>
          </w:tcPr>
          <w:p>
            <w:pPr>
              <w:widowControl/>
              <w:spacing w:beforeAutospacing="1" w:afterAutospacing="1"/>
              <w:ind w:left="45" w:right="45"/>
              <w:jc w:val="center"/>
              <w:rPr>
                <w:rFonts w:ascii="宋体" w:hAnsi="宋体" w:eastAsia="宋体" w:cs="宋体"/>
                <w:kern w:val="0"/>
                <w:sz w:val="24"/>
                <w:szCs w:val="24"/>
              </w:rPr>
            </w:pPr>
            <w:r>
              <w:rPr>
                <w:rFonts w:hint="eastAsia" w:ascii="仿宋_GB2312" w:hAnsi="宋体" w:eastAsia="仿宋_GB2312" w:cs="宋体"/>
                <w:kern w:val="0"/>
                <w:sz w:val="24"/>
                <w:szCs w:val="24"/>
              </w:rPr>
              <w:t>县住房和城乡建设局</w:t>
            </w:r>
          </w:p>
        </w:tc>
      </w:tr>
    </w:tbl>
    <w:p>
      <w:pPr>
        <w:widowControl/>
        <w:spacing w:line="480" w:lineRule="auto"/>
        <w:jc w:val="left"/>
        <w:rPr>
          <w:rFonts w:ascii="宋体" w:hAnsi="宋体" w:eastAsia="宋体" w:cs="宋体"/>
          <w:color w:val="333333"/>
          <w:kern w:val="0"/>
          <w:sz w:val="24"/>
          <w:szCs w:val="24"/>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84a85f14-3dc8-4c3a-a7ec-954d0ef5c4da"/>
  </w:docVars>
  <w:rsids>
    <w:rsidRoot w:val="003631AA"/>
    <w:rsid w:val="000A0A69"/>
    <w:rsid w:val="000E5329"/>
    <w:rsid w:val="000F09A1"/>
    <w:rsid w:val="00285169"/>
    <w:rsid w:val="003631AA"/>
    <w:rsid w:val="00AE7BC8"/>
    <w:rsid w:val="00C17E87"/>
    <w:rsid w:val="00D159B7"/>
    <w:rsid w:val="00FD55FE"/>
    <w:rsid w:val="46F4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size"/>
    <w:basedOn w:val="7"/>
    <w:qFormat/>
    <w:uiPriority w:val="0"/>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3</Pages>
  <Words>1042</Words>
  <Characters>1053</Characters>
  <Lines>8</Lines>
  <Paragraphs>2</Paragraphs>
  <TotalTime>23</TotalTime>
  <ScaleCrop>false</ScaleCrop>
  <LinksUpToDate>false</LinksUpToDate>
  <CharactersWithSpaces>1060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2024-03-10T06:42:00Z</dcterms:created>
  <dc:creator>User</dc:creator>
  <cp:lastModifiedBy>珍惜</cp:lastModifiedBy>
  <dcterms:modified xsi:type="dcterms:W3CDTF">2024-03-15T05:58:52Z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273BF2CD53694135870A597B00CEDCC8</vt:lpwstr>
  </property>
</Properties>
</file>