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0" w:line="189" w:lineRule="auto"/>
        <w:jc w:val="center"/>
        <w:outlineLvl w:val="0"/>
        <w:rPr>
          <w:rFonts w:hint="eastAsia" w:ascii="宋体" w:hAnsi="宋体" w:eastAsia="宋体" w:cs="宋体"/>
          <w:b/>
          <w:bCs/>
          <w:sz w:val="36"/>
          <w:szCs w:val="36"/>
          <w:lang w:eastAsia="zh-CN"/>
        </w:rPr>
      </w:pPr>
      <w:r>
        <w:rPr>
          <w:rFonts w:hint="eastAsia" w:ascii="宋体" w:hAnsi="宋体" w:eastAsia="宋体" w:cs="宋体"/>
          <w:b/>
          <w:bCs/>
          <w:spacing w:val="8"/>
          <w:sz w:val="36"/>
          <w:szCs w:val="36"/>
          <w:lang w:val="en-US" w:eastAsia="zh-CN"/>
        </w:rPr>
        <w:t>2024年</w:t>
      </w:r>
      <w:r>
        <w:rPr>
          <w:rFonts w:hint="eastAsia" w:ascii="宋体" w:hAnsi="宋体" w:eastAsia="宋体" w:cs="宋体"/>
          <w:b/>
          <w:bCs/>
          <w:spacing w:val="8"/>
          <w:sz w:val="36"/>
          <w:szCs w:val="36"/>
          <w:lang w:eastAsia="zh-CN"/>
        </w:rPr>
        <w:t>桃源县</w:t>
      </w:r>
      <w:r>
        <w:rPr>
          <w:rFonts w:hint="eastAsia" w:ascii="宋体" w:hAnsi="宋体" w:eastAsia="宋体" w:cs="宋体"/>
          <w:b/>
          <w:bCs/>
          <w:spacing w:val="8"/>
          <w:sz w:val="36"/>
          <w:szCs w:val="36"/>
        </w:rPr>
        <w:t>林业局行政执法不予行政处罚事项清单</w:t>
      </w:r>
      <w:r>
        <w:rPr>
          <w:rFonts w:hint="eastAsia" w:ascii="宋体" w:hAnsi="宋体" w:eastAsia="宋体" w:cs="宋体"/>
          <w:b/>
          <w:bCs/>
          <w:spacing w:val="8"/>
          <w:sz w:val="36"/>
          <w:szCs w:val="36"/>
          <w:lang w:eastAsia="zh-CN"/>
        </w:rPr>
        <w:t>（</w:t>
      </w:r>
      <w:r>
        <w:rPr>
          <w:rFonts w:hint="eastAsia" w:ascii="宋体" w:hAnsi="宋体" w:eastAsia="宋体" w:cs="宋体"/>
          <w:b/>
          <w:bCs/>
          <w:spacing w:val="8"/>
          <w:sz w:val="36"/>
          <w:szCs w:val="36"/>
          <w:lang w:val="en-US" w:eastAsia="zh-CN"/>
        </w:rPr>
        <w:t>10项</w:t>
      </w:r>
      <w:r>
        <w:rPr>
          <w:rFonts w:hint="eastAsia" w:ascii="宋体" w:hAnsi="宋体" w:eastAsia="宋体" w:cs="宋体"/>
          <w:b/>
          <w:bCs/>
          <w:spacing w:val="8"/>
          <w:sz w:val="36"/>
          <w:szCs w:val="36"/>
          <w:lang w:eastAsia="zh-CN"/>
        </w:rPr>
        <w:t>）</w:t>
      </w:r>
    </w:p>
    <w:p>
      <w:pPr>
        <w:spacing w:line="180" w:lineRule="exact"/>
      </w:pPr>
    </w:p>
    <w:tbl>
      <w:tblPr>
        <w:tblStyle w:val="15"/>
        <w:tblW w:w="1434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23"/>
        <w:gridCol w:w="1798"/>
        <w:gridCol w:w="2651"/>
        <w:gridCol w:w="2623"/>
        <w:gridCol w:w="4107"/>
        <w:gridCol w:w="22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923" w:type="dxa"/>
            <w:vAlign w:val="top"/>
          </w:tcPr>
          <w:p>
            <w:pPr>
              <w:pStyle w:val="16"/>
              <w:spacing w:before="192" w:line="222" w:lineRule="auto"/>
              <w:ind w:left="200"/>
              <w:jc w:val="center"/>
              <w:rPr>
                <w:rFonts w:hint="eastAsia" w:ascii="仿宋" w:hAnsi="仿宋" w:eastAsia="仿宋" w:cs="仿宋"/>
                <w:sz w:val="21"/>
                <w:szCs w:val="21"/>
              </w:rPr>
            </w:pPr>
            <w:r>
              <w:rPr>
                <w:rFonts w:hint="eastAsia" w:ascii="仿宋" w:hAnsi="仿宋" w:eastAsia="仿宋" w:cs="仿宋"/>
                <w:spacing w:val="-9"/>
                <w:sz w:val="21"/>
                <w:szCs w:val="21"/>
                <w14:textOutline w14:w="5085" w14:cap="sq" w14:cmpd="sng">
                  <w14:solidFill>
                    <w14:srgbClr w14:val="000000"/>
                  </w14:solidFill>
                  <w14:prstDash w14:val="solid"/>
                  <w14:bevel/>
                </w14:textOutline>
              </w:rPr>
              <w:t>序号</w:t>
            </w:r>
          </w:p>
        </w:tc>
        <w:tc>
          <w:tcPr>
            <w:tcW w:w="1798" w:type="dxa"/>
            <w:vAlign w:val="top"/>
          </w:tcPr>
          <w:p>
            <w:pPr>
              <w:pStyle w:val="16"/>
              <w:spacing w:before="191" w:line="223" w:lineRule="auto"/>
              <w:ind w:left="83"/>
              <w:jc w:val="center"/>
              <w:rPr>
                <w:rFonts w:hint="eastAsia" w:ascii="仿宋" w:hAnsi="仿宋" w:eastAsia="仿宋" w:cs="仿宋"/>
                <w:sz w:val="21"/>
                <w:szCs w:val="21"/>
              </w:rPr>
            </w:pPr>
            <w:r>
              <w:rPr>
                <w:rFonts w:hint="eastAsia" w:ascii="仿宋" w:hAnsi="仿宋" w:eastAsia="仿宋" w:cs="仿宋"/>
                <w:spacing w:val="-5"/>
                <w:sz w:val="21"/>
                <w:szCs w:val="21"/>
                <w14:textOutline w14:w="5085" w14:cap="sq" w14:cmpd="sng">
                  <w14:solidFill>
                    <w14:srgbClr w14:val="000000"/>
                  </w14:solidFill>
                  <w14:prstDash w14:val="solid"/>
                  <w14:bevel/>
                </w14:textOutline>
              </w:rPr>
              <w:t>包容处罚类型</w:t>
            </w:r>
          </w:p>
        </w:tc>
        <w:tc>
          <w:tcPr>
            <w:tcW w:w="2651" w:type="dxa"/>
            <w:vAlign w:val="top"/>
          </w:tcPr>
          <w:p>
            <w:pPr>
              <w:pStyle w:val="16"/>
              <w:spacing w:before="191" w:line="221" w:lineRule="auto"/>
              <w:ind w:left="784"/>
              <w:jc w:val="both"/>
              <w:rPr>
                <w:rFonts w:hint="eastAsia" w:ascii="仿宋" w:hAnsi="仿宋" w:eastAsia="仿宋" w:cs="仿宋"/>
                <w:sz w:val="21"/>
                <w:szCs w:val="21"/>
              </w:rPr>
            </w:pPr>
            <w:r>
              <w:rPr>
                <w:rFonts w:hint="eastAsia" w:ascii="仿宋" w:hAnsi="仿宋" w:eastAsia="仿宋" w:cs="仿宋"/>
                <w:spacing w:val="-5"/>
                <w:sz w:val="21"/>
                <w:szCs w:val="21"/>
                <w14:textOutline w14:w="5085" w14:cap="sq" w14:cmpd="sng">
                  <w14:solidFill>
                    <w14:srgbClr w14:val="000000"/>
                  </w14:solidFill>
                  <w14:prstDash w14:val="solid"/>
                  <w14:bevel/>
                </w14:textOutline>
              </w:rPr>
              <w:t>违法行为</w:t>
            </w:r>
          </w:p>
        </w:tc>
        <w:tc>
          <w:tcPr>
            <w:tcW w:w="2623" w:type="dxa"/>
            <w:vAlign w:val="top"/>
          </w:tcPr>
          <w:p>
            <w:pPr>
              <w:pStyle w:val="16"/>
              <w:spacing w:before="192" w:line="222" w:lineRule="auto"/>
              <w:ind w:left="774"/>
              <w:jc w:val="center"/>
              <w:rPr>
                <w:rFonts w:hint="eastAsia" w:ascii="仿宋" w:hAnsi="仿宋" w:eastAsia="仿宋" w:cs="仿宋"/>
                <w:sz w:val="21"/>
                <w:szCs w:val="21"/>
              </w:rPr>
            </w:pPr>
            <w:r>
              <w:rPr>
                <w:rFonts w:hint="eastAsia" w:ascii="仿宋" w:hAnsi="仿宋" w:eastAsia="仿宋" w:cs="仿宋"/>
                <w:spacing w:val="-5"/>
                <w:sz w:val="21"/>
                <w:szCs w:val="21"/>
                <w14:textOutline w14:w="5085" w14:cap="sq" w14:cmpd="sng">
                  <w14:solidFill>
                    <w14:srgbClr w14:val="000000"/>
                  </w14:solidFill>
                  <w14:prstDash w14:val="solid"/>
                  <w14:bevel/>
                </w14:textOutline>
              </w:rPr>
              <w:t>具体情形</w:t>
            </w:r>
          </w:p>
        </w:tc>
        <w:tc>
          <w:tcPr>
            <w:tcW w:w="4107" w:type="dxa"/>
            <w:vAlign w:val="top"/>
          </w:tcPr>
          <w:p>
            <w:pPr>
              <w:pStyle w:val="16"/>
              <w:spacing w:before="191" w:line="223" w:lineRule="auto"/>
              <w:ind w:firstLine="1568" w:firstLineChars="800"/>
              <w:jc w:val="both"/>
              <w:rPr>
                <w:rFonts w:hint="eastAsia" w:ascii="仿宋" w:hAnsi="仿宋" w:eastAsia="仿宋" w:cs="仿宋"/>
                <w:sz w:val="21"/>
                <w:szCs w:val="21"/>
              </w:rPr>
            </w:pPr>
            <w:r>
              <w:rPr>
                <w:rFonts w:hint="eastAsia" w:ascii="仿宋" w:hAnsi="仿宋" w:eastAsia="仿宋" w:cs="仿宋"/>
                <w:spacing w:val="-7"/>
                <w:sz w:val="21"/>
                <w:szCs w:val="21"/>
                <w14:textOutline w14:w="5085" w14:cap="sq" w14:cmpd="sng">
                  <w14:solidFill>
                    <w14:srgbClr w14:val="000000"/>
                  </w14:solidFill>
                  <w14:prstDash w14:val="solid"/>
                  <w14:bevel/>
                </w14:textOutline>
              </w:rPr>
              <w:t>法定依据</w:t>
            </w:r>
          </w:p>
        </w:tc>
        <w:tc>
          <w:tcPr>
            <w:tcW w:w="2242" w:type="dxa"/>
            <w:vAlign w:val="top"/>
          </w:tcPr>
          <w:p>
            <w:pPr>
              <w:pStyle w:val="16"/>
              <w:spacing w:before="191" w:line="221" w:lineRule="auto"/>
              <w:ind w:left="302"/>
              <w:jc w:val="center"/>
              <w:rPr>
                <w:rFonts w:hint="eastAsia" w:ascii="仿宋" w:hAnsi="仿宋" w:eastAsia="仿宋" w:cs="仿宋"/>
                <w:sz w:val="21"/>
                <w:szCs w:val="21"/>
              </w:rPr>
            </w:pPr>
            <w:r>
              <w:rPr>
                <w:rFonts w:hint="eastAsia" w:ascii="仿宋" w:hAnsi="仿宋" w:eastAsia="仿宋" w:cs="仿宋"/>
                <w:b/>
                <w:bCs/>
                <w:sz w:val="21"/>
                <w:szCs w:val="21"/>
              </w:rPr>
              <w:t>配套监管措施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23" w:type="dxa"/>
            <w:vAlign w:val="center"/>
          </w:tcPr>
          <w:p>
            <w:pPr>
              <w:pStyle w:val="16"/>
              <w:spacing w:before="78" w:line="181" w:lineRule="auto"/>
              <w:ind w:firstLine="420" w:firstLineChars="200"/>
              <w:jc w:val="center"/>
              <w:rPr>
                <w:rFonts w:hint="eastAsia" w:ascii="仿宋" w:hAnsi="仿宋" w:eastAsia="仿宋" w:cs="仿宋"/>
                <w:sz w:val="21"/>
                <w:szCs w:val="21"/>
              </w:rPr>
            </w:pPr>
            <w:r>
              <w:rPr>
                <w:rFonts w:hint="eastAsia" w:ascii="仿宋" w:hAnsi="仿宋" w:eastAsia="仿宋" w:cs="仿宋"/>
                <w:sz w:val="21"/>
                <w:szCs w:val="21"/>
              </w:rPr>
              <w:t>1</w:t>
            </w:r>
          </w:p>
        </w:tc>
        <w:tc>
          <w:tcPr>
            <w:tcW w:w="1798" w:type="dxa"/>
            <w:vAlign w:val="center"/>
          </w:tcPr>
          <w:p>
            <w:pPr>
              <w:pStyle w:val="16"/>
              <w:spacing w:before="78" w:line="221" w:lineRule="auto"/>
              <w:ind w:firstLine="202" w:firstLineChars="100"/>
              <w:jc w:val="center"/>
              <w:rPr>
                <w:rFonts w:hint="eastAsia" w:ascii="仿宋" w:hAnsi="仿宋" w:eastAsia="仿宋" w:cs="仿宋"/>
                <w:sz w:val="21"/>
                <w:szCs w:val="21"/>
              </w:rPr>
            </w:pPr>
            <w:r>
              <w:rPr>
                <w:rFonts w:hint="eastAsia" w:ascii="仿宋" w:hAnsi="仿宋" w:eastAsia="仿宋" w:cs="仿宋"/>
                <w:spacing w:val="-4"/>
                <w:sz w:val="21"/>
                <w:szCs w:val="21"/>
              </w:rPr>
              <w:t>不予行政处罚</w:t>
            </w:r>
          </w:p>
        </w:tc>
        <w:tc>
          <w:tcPr>
            <w:tcW w:w="2651" w:type="dxa"/>
            <w:vAlign w:val="center"/>
          </w:tcPr>
          <w:p>
            <w:pPr>
              <w:pStyle w:val="16"/>
              <w:spacing w:before="78" w:line="223" w:lineRule="auto"/>
              <w:ind w:right="207"/>
              <w:jc w:val="center"/>
              <w:rPr>
                <w:rFonts w:hint="eastAsia" w:ascii="仿宋" w:hAnsi="仿宋" w:eastAsia="仿宋" w:cs="仿宋"/>
                <w:sz w:val="21"/>
                <w:szCs w:val="21"/>
              </w:rPr>
            </w:pPr>
            <w:r>
              <w:rPr>
                <w:rFonts w:hint="eastAsia" w:ascii="仿宋" w:hAnsi="仿宋" w:eastAsia="仿宋" w:cs="仿宋"/>
                <w:spacing w:val="-2"/>
                <w:sz w:val="21"/>
                <w:szCs w:val="21"/>
              </w:rPr>
              <w:t>未按照规定使用林木良种进行工程项</w:t>
            </w:r>
            <w:bookmarkStart w:id="0" w:name="_GoBack"/>
            <w:bookmarkEnd w:id="0"/>
            <w:r>
              <w:rPr>
                <w:rFonts w:hint="eastAsia" w:ascii="仿宋" w:hAnsi="仿宋" w:eastAsia="仿宋" w:cs="仿宋"/>
                <w:spacing w:val="-2"/>
                <w:sz w:val="21"/>
                <w:szCs w:val="21"/>
              </w:rPr>
              <w:t>目造林</w:t>
            </w:r>
          </w:p>
        </w:tc>
        <w:tc>
          <w:tcPr>
            <w:tcW w:w="2623" w:type="dxa"/>
            <w:vAlign w:val="center"/>
          </w:tcPr>
          <w:p>
            <w:pPr>
              <w:spacing w:line="270" w:lineRule="auto"/>
              <w:jc w:val="both"/>
              <w:rPr>
                <w:rFonts w:hint="eastAsia" w:ascii="仿宋" w:hAnsi="仿宋" w:eastAsia="仿宋" w:cs="仿宋"/>
                <w:sz w:val="21"/>
                <w:szCs w:val="21"/>
              </w:rPr>
            </w:pPr>
          </w:p>
          <w:p>
            <w:pPr>
              <w:pStyle w:val="16"/>
              <w:spacing w:before="78" w:line="224" w:lineRule="auto"/>
              <w:ind w:left="49" w:right="178" w:hanging="3"/>
              <w:jc w:val="both"/>
              <w:rPr>
                <w:rFonts w:hint="eastAsia" w:ascii="仿宋" w:hAnsi="仿宋" w:eastAsia="仿宋" w:cs="仿宋"/>
                <w:sz w:val="21"/>
                <w:szCs w:val="21"/>
              </w:rPr>
            </w:pPr>
            <w:r>
              <w:rPr>
                <w:rFonts w:hint="eastAsia" w:ascii="仿宋" w:hAnsi="仿宋" w:eastAsia="仿宋" w:cs="仿宋"/>
                <w:spacing w:val="-2"/>
                <w:sz w:val="21"/>
                <w:szCs w:val="21"/>
              </w:rPr>
              <w:t>使用林木良种壮苗已达</w:t>
            </w:r>
            <w:r>
              <w:rPr>
                <w:rFonts w:hint="eastAsia" w:ascii="仿宋" w:hAnsi="仿宋" w:eastAsia="仿宋" w:cs="仿宋"/>
                <w:spacing w:val="2"/>
                <w:sz w:val="21"/>
                <w:szCs w:val="21"/>
              </w:rPr>
              <w:t xml:space="preserve"> </w:t>
            </w:r>
            <w:r>
              <w:rPr>
                <w:rFonts w:hint="eastAsia" w:ascii="仿宋" w:hAnsi="仿宋" w:eastAsia="仿宋" w:cs="仿宋"/>
                <w:spacing w:val="-2"/>
                <w:sz w:val="21"/>
                <w:szCs w:val="21"/>
              </w:rPr>
              <w:t>到计划的90%以上不足</w:t>
            </w:r>
            <w:r>
              <w:rPr>
                <w:rFonts w:hint="eastAsia" w:ascii="仿宋" w:hAnsi="仿宋" w:eastAsia="仿宋" w:cs="仿宋"/>
                <w:sz w:val="21"/>
                <w:szCs w:val="21"/>
              </w:rPr>
              <w:t xml:space="preserve">  </w:t>
            </w:r>
            <w:r>
              <w:rPr>
                <w:rFonts w:hint="eastAsia" w:ascii="仿宋" w:hAnsi="仿宋" w:eastAsia="仿宋" w:cs="仿宋"/>
                <w:spacing w:val="-2"/>
                <w:sz w:val="21"/>
                <w:szCs w:val="21"/>
              </w:rPr>
              <w:t>100%，首次实施并及时</w:t>
            </w:r>
            <w:r>
              <w:rPr>
                <w:rFonts w:hint="eastAsia" w:ascii="仿宋" w:hAnsi="仿宋" w:eastAsia="仿宋" w:cs="仿宋"/>
                <w:spacing w:val="2"/>
                <w:sz w:val="21"/>
                <w:szCs w:val="21"/>
              </w:rPr>
              <w:t xml:space="preserve"> </w:t>
            </w:r>
            <w:r>
              <w:rPr>
                <w:rFonts w:hint="eastAsia" w:ascii="仿宋" w:hAnsi="仿宋" w:eastAsia="仿宋" w:cs="仿宋"/>
                <w:spacing w:val="-7"/>
                <w:sz w:val="21"/>
                <w:szCs w:val="21"/>
              </w:rPr>
              <w:t>纠正的</w:t>
            </w:r>
          </w:p>
        </w:tc>
        <w:tc>
          <w:tcPr>
            <w:tcW w:w="4107" w:type="dxa"/>
            <w:vAlign w:val="center"/>
          </w:tcPr>
          <w:p>
            <w:pPr>
              <w:pStyle w:val="16"/>
              <w:spacing w:before="78" w:line="221" w:lineRule="auto"/>
              <w:jc w:val="center"/>
              <w:rPr>
                <w:rFonts w:hint="eastAsia" w:ascii="仿宋" w:hAnsi="仿宋" w:eastAsia="仿宋" w:cs="仿宋"/>
                <w:sz w:val="21"/>
                <w:szCs w:val="21"/>
                <w:lang w:eastAsia="zh-CN"/>
              </w:rPr>
            </w:pPr>
            <w:r>
              <w:rPr>
                <w:rFonts w:hint="eastAsia" w:ascii="仿宋" w:hAnsi="仿宋" w:eastAsia="仿宋" w:cs="仿宋"/>
                <w:spacing w:val="-2"/>
                <w:sz w:val="21"/>
                <w:szCs w:val="21"/>
              </w:rPr>
              <w:t>《林木良种推广使用管理办法》</w:t>
            </w:r>
            <w:r>
              <w:rPr>
                <w:rFonts w:hint="eastAsia" w:ascii="仿宋" w:hAnsi="仿宋" w:eastAsia="仿宋" w:cs="仿宋"/>
                <w:spacing w:val="-1"/>
                <w:sz w:val="21"/>
                <w:szCs w:val="21"/>
              </w:rPr>
              <w:t>（2011年1月25日修改，1997年6月15</w:t>
            </w:r>
            <w:r>
              <w:rPr>
                <w:rFonts w:hint="eastAsia" w:ascii="仿宋" w:hAnsi="仿宋" w:eastAsia="仿宋" w:cs="仿宋"/>
                <w:spacing w:val="1"/>
                <w:sz w:val="21"/>
                <w:szCs w:val="21"/>
              </w:rPr>
              <w:t xml:space="preserve"> </w:t>
            </w:r>
            <w:r>
              <w:rPr>
                <w:rFonts w:hint="eastAsia" w:ascii="仿宋" w:hAnsi="仿宋" w:eastAsia="仿宋" w:cs="仿宋"/>
                <w:spacing w:val="-1"/>
                <w:sz w:val="21"/>
                <w:szCs w:val="21"/>
              </w:rPr>
              <w:t>日施行）第十六条  未按照规定使用林木良种进行工程项目造林的，林业行政主管部门可以取消林木良种推广使用的经济补贴，并可酌减或者停止</w:t>
            </w:r>
            <w:r>
              <w:rPr>
                <w:rFonts w:hint="eastAsia" w:ascii="仿宋" w:hAnsi="仿宋" w:eastAsia="仿宋" w:cs="仿宋"/>
                <w:spacing w:val="-2"/>
                <w:sz w:val="21"/>
                <w:szCs w:val="21"/>
              </w:rPr>
              <w:t>该项目下一年度的投资。对前款行为，林业行政主管部门可以给予警告，并可处1000元以下的罚款</w:t>
            </w:r>
            <w:r>
              <w:rPr>
                <w:rFonts w:hint="eastAsia" w:ascii="仿宋" w:hAnsi="仿宋" w:eastAsia="仿宋" w:cs="仿宋"/>
                <w:spacing w:val="-2"/>
                <w:sz w:val="21"/>
                <w:szCs w:val="21"/>
                <w:lang w:eastAsia="zh-CN"/>
              </w:rPr>
              <w:t>。</w:t>
            </w:r>
          </w:p>
        </w:tc>
        <w:tc>
          <w:tcPr>
            <w:tcW w:w="2242" w:type="dxa"/>
            <w:vAlign w:val="center"/>
          </w:tcPr>
          <w:p>
            <w:pPr>
              <w:pStyle w:val="16"/>
              <w:spacing w:before="78" w:line="222" w:lineRule="auto"/>
              <w:ind w:right="30" w:firstLine="420" w:firstLineChars="200"/>
              <w:jc w:val="center"/>
              <w:rPr>
                <w:rFonts w:hint="eastAsia" w:ascii="仿宋" w:hAnsi="仿宋" w:eastAsia="仿宋" w:cs="仿宋"/>
                <w:sz w:val="21"/>
                <w:szCs w:val="21"/>
              </w:rPr>
            </w:pPr>
            <w:r>
              <w:rPr>
                <w:rFonts w:hint="eastAsia" w:ascii="仿宋" w:hAnsi="仿宋" w:eastAsia="仿宋" w:cs="仿宋"/>
                <w:sz w:val="21"/>
                <w:szCs w:val="21"/>
              </w:rPr>
              <w:t>包容观察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17" w:hRule="atLeast"/>
        </w:trPr>
        <w:tc>
          <w:tcPr>
            <w:tcW w:w="923" w:type="dxa"/>
            <w:vAlign w:val="center"/>
          </w:tcPr>
          <w:p>
            <w:pPr>
              <w:spacing w:line="249" w:lineRule="auto"/>
              <w:jc w:val="center"/>
              <w:rPr>
                <w:rFonts w:hint="eastAsia" w:ascii="仿宋" w:hAnsi="仿宋" w:eastAsia="仿宋" w:cs="仿宋"/>
                <w:sz w:val="21"/>
                <w:szCs w:val="21"/>
              </w:rPr>
            </w:pPr>
          </w:p>
          <w:p>
            <w:pPr>
              <w:spacing w:line="249" w:lineRule="auto"/>
              <w:jc w:val="center"/>
              <w:rPr>
                <w:rFonts w:hint="eastAsia" w:ascii="仿宋" w:hAnsi="仿宋" w:eastAsia="仿宋" w:cs="仿宋"/>
                <w:sz w:val="21"/>
                <w:szCs w:val="21"/>
              </w:rPr>
            </w:pPr>
          </w:p>
          <w:p>
            <w:pPr>
              <w:spacing w:line="250" w:lineRule="auto"/>
              <w:jc w:val="center"/>
              <w:rPr>
                <w:rFonts w:hint="eastAsia" w:ascii="仿宋" w:hAnsi="仿宋" w:eastAsia="仿宋" w:cs="仿宋"/>
                <w:sz w:val="21"/>
                <w:szCs w:val="21"/>
              </w:rPr>
            </w:pPr>
          </w:p>
          <w:p>
            <w:pPr>
              <w:pStyle w:val="16"/>
              <w:spacing w:before="78" w:line="180" w:lineRule="auto"/>
              <w:ind w:left="410" w:leftChars="0"/>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2</w:t>
            </w:r>
          </w:p>
        </w:tc>
        <w:tc>
          <w:tcPr>
            <w:tcW w:w="1798" w:type="dxa"/>
            <w:vAlign w:val="center"/>
          </w:tcPr>
          <w:p>
            <w:pPr>
              <w:spacing w:line="318" w:lineRule="auto"/>
              <w:jc w:val="center"/>
              <w:rPr>
                <w:rFonts w:hint="eastAsia" w:ascii="仿宋" w:hAnsi="仿宋" w:eastAsia="仿宋" w:cs="仿宋"/>
                <w:sz w:val="21"/>
                <w:szCs w:val="21"/>
              </w:rPr>
            </w:pPr>
          </w:p>
          <w:p>
            <w:pPr>
              <w:spacing w:line="319" w:lineRule="auto"/>
              <w:jc w:val="center"/>
              <w:rPr>
                <w:rFonts w:hint="eastAsia" w:ascii="仿宋" w:hAnsi="仿宋" w:eastAsia="仿宋" w:cs="仿宋"/>
                <w:sz w:val="21"/>
                <w:szCs w:val="21"/>
              </w:rPr>
            </w:pPr>
          </w:p>
          <w:p>
            <w:pPr>
              <w:pStyle w:val="16"/>
              <w:spacing w:before="78" w:line="221" w:lineRule="auto"/>
              <w:ind w:firstLine="202" w:firstLineChars="100"/>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pacing w:val="-4"/>
                <w:sz w:val="21"/>
                <w:szCs w:val="21"/>
              </w:rPr>
              <w:t>不予行政处罚</w:t>
            </w:r>
          </w:p>
        </w:tc>
        <w:tc>
          <w:tcPr>
            <w:tcW w:w="2651" w:type="dxa"/>
            <w:vAlign w:val="center"/>
          </w:tcPr>
          <w:p>
            <w:pPr>
              <w:pStyle w:val="16"/>
              <w:spacing w:before="167" w:line="224" w:lineRule="auto"/>
              <w:ind w:left="43" w:leftChars="0" w:right="87" w:rightChars="0"/>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pacing w:val="-2"/>
                <w:sz w:val="21"/>
                <w:szCs w:val="21"/>
              </w:rPr>
              <w:t>破坏省保护的有益的或者有重要经济、科学研究价值的野生动物主要</w:t>
            </w:r>
            <w:r>
              <w:rPr>
                <w:rFonts w:hint="eastAsia" w:ascii="仿宋" w:hAnsi="仿宋" w:eastAsia="仿宋" w:cs="仿宋"/>
                <w:spacing w:val="-4"/>
                <w:sz w:val="21"/>
                <w:szCs w:val="21"/>
              </w:rPr>
              <w:t>生息繁衍场所</w:t>
            </w:r>
          </w:p>
        </w:tc>
        <w:tc>
          <w:tcPr>
            <w:tcW w:w="2623" w:type="dxa"/>
            <w:vAlign w:val="center"/>
          </w:tcPr>
          <w:p>
            <w:pPr>
              <w:pStyle w:val="16"/>
              <w:spacing w:before="311" w:line="222" w:lineRule="auto"/>
              <w:ind w:left="73"/>
              <w:jc w:val="both"/>
              <w:rPr>
                <w:rFonts w:hint="eastAsia" w:ascii="仿宋" w:hAnsi="仿宋" w:eastAsia="仿宋" w:cs="仿宋"/>
                <w:sz w:val="21"/>
                <w:szCs w:val="21"/>
              </w:rPr>
            </w:pPr>
            <w:r>
              <w:rPr>
                <w:rFonts w:hint="eastAsia" w:ascii="仿宋" w:hAnsi="仿宋" w:eastAsia="仿宋" w:cs="仿宋"/>
                <w:spacing w:val="-5"/>
                <w:sz w:val="21"/>
                <w:szCs w:val="21"/>
              </w:rPr>
              <w:t>同时满足以下条件：</w:t>
            </w:r>
          </w:p>
          <w:p>
            <w:pPr>
              <w:pStyle w:val="16"/>
              <w:spacing w:before="1" w:line="224" w:lineRule="auto"/>
              <w:ind w:left="45" w:right="58" w:firstLine="10"/>
              <w:jc w:val="both"/>
              <w:rPr>
                <w:rFonts w:hint="eastAsia" w:ascii="仿宋" w:hAnsi="仿宋" w:eastAsia="仿宋" w:cs="仿宋"/>
                <w:sz w:val="21"/>
                <w:szCs w:val="21"/>
              </w:rPr>
            </w:pPr>
            <w:r>
              <w:rPr>
                <w:rFonts w:hint="eastAsia" w:ascii="仿宋" w:hAnsi="仿宋" w:eastAsia="仿宋" w:cs="仿宋"/>
                <w:spacing w:val="-3"/>
                <w:sz w:val="21"/>
                <w:szCs w:val="21"/>
              </w:rPr>
              <w:t>1、情节轻微，未造成</w:t>
            </w:r>
            <w:r>
              <w:rPr>
                <w:rFonts w:hint="eastAsia" w:ascii="仿宋" w:hAnsi="仿宋" w:eastAsia="仿宋" w:cs="仿宋"/>
                <w:spacing w:val="-3"/>
                <w:sz w:val="21"/>
                <w:szCs w:val="21"/>
                <w:lang w:eastAsia="zh-CN"/>
              </w:rPr>
              <w:t>危</w:t>
            </w:r>
            <w:r>
              <w:rPr>
                <w:rFonts w:hint="eastAsia" w:ascii="仿宋" w:hAnsi="仿宋" w:eastAsia="仿宋" w:cs="仿宋"/>
                <w:sz w:val="21"/>
                <w:szCs w:val="21"/>
              </w:rPr>
              <w:t>害</w:t>
            </w:r>
          </w:p>
          <w:p>
            <w:pPr>
              <w:pStyle w:val="16"/>
              <w:spacing w:before="4" w:line="223" w:lineRule="auto"/>
              <w:ind w:left="47" w:right="58" w:hanging="7"/>
              <w:jc w:val="both"/>
              <w:rPr>
                <w:rFonts w:hint="eastAsia" w:ascii="仿宋" w:hAnsi="仿宋" w:eastAsia="仿宋" w:cs="仿宋"/>
                <w:sz w:val="21"/>
                <w:szCs w:val="21"/>
              </w:rPr>
            </w:pPr>
            <w:r>
              <w:rPr>
                <w:rFonts w:hint="eastAsia" w:ascii="仿宋" w:hAnsi="仿宋" w:eastAsia="仿宋" w:cs="仿宋"/>
                <w:spacing w:val="-2"/>
                <w:sz w:val="21"/>
                <w:szCs w:val="21"/>
              </w:rPr>
              <w:t>2、事后立即停止破坏活</w:t>
            </w:r>
            <w:r>
              <w:rPr>
                <w:rFonts w:hint="eastAsia" w:ascii="仿宋" w:hAnsi="仿宋" w:eastAsia="仿宋" w:cs="仿宋"/>
                <w:sz w:val="21"/>
                <w:szCs w:val="21"/>
              </w:rPr>
              <w:t>动</w:t>
            </w:r>
          </w:p>
          <w:p>
            <w:pPr>
              <w:pStyle w:val="16"/>
              <w:tabs>
                <w:tab w:val="left" w:pos="0"/>
              </w:tabs>
              <w:spacing w:before="2" w:line="220" w:lineRule="auto"/>
              <w:jc w:val="both"/>
              <w:rPr>
                <w:rFonts w:hint="eastAsia" w:ascii="仿宋" w:hAnsi="仿宋" w:eastAsia="仿宋" w:cs="仿宋"/>
                <w:snapToGrid w:val="0"/>
                <w:color w:val="000000"/>
                <w:kern w:val="0"/>
                <w:sz w:val="21"/>
                <w:szCs w:val="21"/>
                <w:lang w:val="en-US" w:eastAsia="en-US" w:bidi="ar-SA"/>
              </w:rPr>
            </w:pPr>
            <w:r>
              <w:rPr>
                <w:rFonts w:hint="eastAsia" w:cs="仿宋"/>
                <w:spacing w:val="-2"/>
                <w:sz w:val="21"/>
                <w:szCs w:val="21"/>
                <w:lang w:val="en-US" w:eastAsia="zh-CN"/>
              </w:rPr>
              <w:t>3、</w:t>
            </w:r>
            <w:r>
              <w:rPr>
                <w:rFonts w:hint="eastAsia" w:ascii="仿宋" w:hAnsi="仿宋" w:eastAsia="仿宋" w:cs="仿宋"/>
                <w:spacing w:val="-2"/>
                <w:sz w:val="21"/>
                <w:szCs w:val="21"/>
                <w:lang w:eastAsia="zh-CN"/>
              </w:rPr>
              <w:t>及时</w:t>
            </w:r>
            <w:r>
              <w:rPr>
                <w:rFonts w:hint="eastAsia" w:ascii="仿宋" w:hAnsi="仿宋" w:eastAsia="仿宋" w:cs="仿宋"/>
                <w:spacing w:val="-2"/>
                <w:sz w:val="21"/>
                <w:szCs w:val="21"/>
              </w:rPr>
              <w:t>恢复原状</w:t>
            </w:r>
          </w:p>
        </w:tc>
        <w:tc>
          <w:tcPr>
            <w:tcW w:w="4107" w:type="dxa"/>
            <w:vAlign w:val="center"/>
          </w:tcPr>
          <w:p>
            <w:pPr>
              <w:pStyle w:val="16"/>
              <w:spacing w:before="78" w:line="221" w:lineRule="auto"/>
              <w:jc w:val="center"/>
              <w:rPr>
                <w:rFonts w:hint="eastAsia" w:ascii="仿宋" w:hAnsi="仿宋" w:eastAsia="仿宋" w:cs="仿宋"/>
                <w:spacing w:val="-1"/>
                <w:sz w:val="21"/>
                <w:szCs w:val="21"/>
              </w:rPr>
            </w:pPr>
            <w:r>
              <w:rPr>
                <w:rFonts w:hint="eastAsia" w:ascii="仿宋" w:hAnsi="仿宋" w:eastAsia="仿宋" w:cs="仿宋"/>
                <w:spacing w:val="-1"/>
                <w:sz w:val="21"/>
                <w:szCs w:val="21"/>
                <w:lang w:eastAsia="zh-CN"/>
              </w:rPr>
              <w:t>《湖南省野生动植物资源保护条例》</w:t>
            </w:r>
            <w:r>
              <w:rPr>
                <w:rFonts w:hint="eastAsia" w:ascii="仿宋" w:hAnsi="仿宋" w:eastAsia="仿宋" w:cs="仿宋"/>
                <w:spacing w:val="-1"/>
                <w:sz w:val="21"/>
                <w:szCs w:val="21"/>
              </w:rPr>
              <w:t>第二十九条 违反本条例，有下列行为之一尚未构成犯罪的，给予行政处罚：</w:t>
            </w:r>
          </w:p>
          <w:p>
            <w:pPr>
              <w:pStyle w:val="16"/>
              <w:spacing w:before="78" w:line="221" w:lineRule="auto"/>
              <w:jc w:val="center"/>
              <w:rPr>
                <w:rFonts w:hint="eastAsia" w:ascii="仿宋" w:hAnsi="仿宋" w:eastAsia="仿宋" w:cs="仿宋"/>
                <w:spacing w:val="-1"/>
                <w:sz w:val="21"/>
                <w:szCs w:val="21"/>
              </w:rPr>
            </w:pPr>
            <w:r>
              <w:rPr>
                <w:rFonts w:hint="eastAsia" w:ascii="仿宋" w:hAnsi="仿宋" w:eastAsia="仿宋" w:cs="仿宋"/>
                <w:spacing w:val="-1"/>
                <w:sz w:val="21"/>
                <w:szCs w:val="21"/>
              </w:rPr>
              <w:t>（一）在自然保护区、禁猎区破坏省保护的有益的或者有重要经济、科学研究价值的野生动物主要生息繁衍场所的，限期恢复原状，处恢复原状所需费用二倍以下的罚款；</w:t>
            </w:r>
          </w:p>
          <w:p>
            <w:pPr>
              <w:pStyle w:val="16"/>
              <w:spacing w:before="78" w:line="221"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en-US" w:bidi="ar-SA"/>
              </w:rPr>
              <w:t>《中华人民共和国行政处罚法》第三十三条第一款</w:t>
            </w:r>
            <w:r>
              <w:rPr>
                <w:rFonts w:hint="eastAsia" w:ascii="仿宋" w:hAnsi="仿宋" w:eastAsia="仿宋" w:cs="仿宋"/>
                <w:snapToGrid w:val="0"/>
                <w:color w:val="000000"/>
                <w:kern w:val="0"/>
                <w:sz w:val="21"/>
                <w:szCs w:val="21"/>
                <w:lang w:val="en-US" w:eastAsia="zh-CN" w:bidi="ar-SA"/>
              </w:rPr>
              <w:t>。</w:t>
            </w:r>
          </w:p>
        </w:tc>
        <w:tc>
          <w:tcPr>
            <w:tcW w:w="2242" w:type="dxa"/>
            <w:vAlign w:val="center"/>
          </w:tcPr>
          <w:p>
            <w:pPr>
              <w:spacing w:line="270" w:lineRule="auto"/>
              <w:jc w:val="center"/>
              <w:rPr>
                <w:rFonts w:hint="eastAsia" w:ascii="仿宋" w:hAnsi="仿宋" w:eastAsia="仿宋" w:cs="仿宋"/>
                <w:sz w:val="21"/>
                <w:szCs w:val="21"/>
              </w:rPr>
            </w:pPr>
          </w:p>
          <w:p>
            <w:pPr>
              <w:spacing w:line="270" w:lineRule="auto"/>
              <w:jc w:val="center"/>
              <w:rPr>
                <w:rFonts w:hint="eastAsia" w:ascii="仿宋" w:hAnsi="仿宋" w:eastAsia="仿宋" w:cs="仿宋"/>
                <w:sz w:val="21"/>
                <w:szCs w:val="21"/>
              </w:rPr>
            </w:pPr>
          </w:p>
          <w:p>
            <w:pPr>
              <w:spacing w:line="271" w:lineRule="auto"/>
              <w:jc w:val="center"/>
              <w:rPr>
                <w:rFonts w:hint="eastAsia" w:ascii="仿宋" w:hAnsi="仿宋" w:eastAsia="仿宋" w:cs="仿宋"/>
                <w:sz w:val="21"/>
                <w:szCs w:val="21"/>
              </w:rPr>
            </w:pPr>
          </w:p>
          <w:p>
            <w:pPr>
              <w:pStyle w:val="16"/>
              <w:spacing w:before="78" w:line="223" w:lineRule="auto"/>
              <w:ind w:right="30" w:rightChars="0" w:firstLine="420" w:firstLineChars="200"/>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rPr>
              <w:t>包容观察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17" w:hRule="atLeast"/>
        </w:trPr>
        <w:tc>
          <w:tcPr>
            <w:tcW w:w="923" w:type="dxa"/>
            <w:vAlign w:val="center"/>
          </w:tcPr>
          <w:p>
            <w:pPr>
              <w:pStyle w:val="16"/>
              <w:spacing w:before="78" w:line="180" w:lineRule="auto"/>
              <w:ind w:firstLine="420" w:firstLineChars="200"/>
              <w:jc w:val="center"/>
              <w:rPr>
                <w:rFonts w:hint="default" w:ascii="仿宋" w:hAnsi="仿宋" w:eastAsia="仿宋" w:cs="仿宋"/>
                <w:snapToGrid w:val="0"/>
                <w:color w:val="000000"/>
                <w:kern w:val="0"/>
                <w:sz w:val="21"/>
                <w:szCs w:val="21"/>
                <w:lang w:val="en-US" w:eastAsia="zh-CN" w:bidi="ar-SA"/>
              </w:rPr>
            </w:pPr>
            <w:r>
              <w:rPr>
                <w:rFonts w:hint="eastAsia" w:cs="仿宋"/>
                <w:snapToGrid w:val="0"/>
                <w:color w:val="000000"/>
                <w:kern w:val="0"/>
                <w:sz w:val="21"/>
                <w:szCs w:val="21"/>
                <w:lang w:val="en-US" w:eastAsia="zh-CN" w:bidi="ar-SA"/>
              </w:rPr>
              <w:t>3</w:t>
            </w:r>
          </w:p>
        </w:tc>
        <w:tc>
          <w:tcPr>
            <w:tcW w:w="1798" w:type="dxa"/>
            <w:vAlign w:val="center"/>
          </w:tcPr>
          <w:p>
            <w:pPr>
              <w:pStyle w:val="16"/>
              <w:spacing w:before="78" w:line="221" w:lineRule="auto"/>
              <w:ind w:firstLine="202" w:firstLineChars="100"/>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pacing w:val="-4"/>
                <w:sz w:val="21"/>
                <w:szCs w:val="21"/>
              </w:rPr>
              <w:t>不予行政处罚</w:t>
            </w:r>
          </w:p>
        </w:tc>
        <w:tc>
          <w:tcPr>
            <w:tcW w:w="2651" w:type="dxa"/>
            <w:vAlign w:val="center"/>
          </w:tcPr>
          <w:p>
            <w:pPr>
              <w:pStyle w:val="16"/>
              <w:spacing w:before="98" w:line="224" w:lineRule="auto"/>
              <w:ind w:left="44" w:leftChars="0" w:right="207" w:rightChars="0" w:firstLine="2" w:firstLineChars="0"/>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pacing w:val="-2"/>
                <w:sz w:val="21"/>
                <w:szCs w:val="21"/>
              </w:rPr>
              <w:t>森林</w:t>
            </w:r>
            <w:r>
              <w:rPr>
                <w:rFonts w:hint="eastAsia" w:cs="仿宋"/>
                <w:spacing w:val="-2"/>
                <w:sz w:val="21"/>
                <w:szCs w:val="21"/>
                <w:lang w:eastAsia="zh-CN"/>
              </w:rPr>
              <w:t>、</w:t>
            </w:r>
            <w:r>
              <w:rPr>
                <w:rFonts w:hint="eastAsia" w:ascii="仿宋" w:hAnsi="仿宋" w:eastAsia="仿宋" w:cs="仿宋"/>
                <w:spacing w:val="-2"/>
                <w:sz w:val="21"/>
                <w:szCs w:val="21"/>
              </w:rPr>
              <w:t>林木、林地的经营单位</w:t>
            </w:r>
            <w:r>
              <w:rPr>
                <w:rFonts w:hint="eastAsia" w:cs="仿宋"/>
                <w:spacing w:val="-2"/>
                <w:sz w:val="21"/>
                <w:szCs w:val="21"/>
                <w:lang w:eastAsia="zh-CN"/>
              </w:rPr>
              <w:t>或者个人未履行森林防火责任</w:t>
            </w:r>
          </w:p>
        </w:tc>
        <w:tc>
          <w:tcPr>
            <w:tcW w:w="2623" w:type="dxa"/>
            <w:vAlign w:val="center"/>
          </w:tcPr>
          <w:p>
            <w:pPr>
              <w:pStyle w:val="16"/>
              <w:spacing w:before="98" w:line="223" w:lineRule="auto"/>
              <w:ind w:left="55" w:right="476" w:firstLine="17"/>
              <w:jc w:val="both"/>
              <w:rPr>
                <w:rFonts w:hint="eastAsia" w:ascii="仿宋" w:hAnsi="仿宋" w:eastAsia="仿宋" w:cs="仿宋"/>
                <w:spacing w:val="-12"/>
                <w:sz w:val="21"/>
                <w:szCs w:val="21"/>
              </w:rPr>
            </w:pPr>
            <w:r>
              <w:rPr>
                <w:rFonts w:hint="eastAsia" w:ascii="仿宋" w:hAnsi="仿宋" w:eastAsia="仿宋" w:cs="仿宋"/>
                <w:spacing w:val="-12"/>
                <w:sz w:val="21"/>
                <w:szCs w:val="21"/>
              </w:rPr>
              <w:t>同时满足以下条件：</w:t>
            </w:r>
          </w:p>
          <w:p>
            <w:pPr>
              <w:pStyle w:val="16"/>
              <w:spacing w:before="98" w:line="223" w:lineRule="auto"/>
              <w:ind w:left="55" w:right="476" w:firstLine="17"/>
              <w:jc w:val="both"/>
              <w:rPr>
                <w:rFonts w:hint="eastAsia" w:ascii="仿宋" w:hAnsi="仿宋" w:eastAsia="仿宋" w:cs="仿宋"/>
                <w:sz w:val="21"/>
                <w:szCs w:val="21"/>
              </w:rPr>
            </w:pPr>
            <w:r>
              <w:rPr>
                <w:rFonts w:hint="eastAsia" w:cs="仿宋"/>
                <w:spacing w:val="-12"/>
                <w:sz w:val="21"/>
                <w:szCs w:val="21"/>
                <w:lang w:val="en-US" w:eastAsia="zh-CN"/>
              </w:rPr>
              <w:t>1</w:t>
            </w:r>
            <w:r>
              <w:rPr>
                <w:rFonts w:hint="eastAsia" w:ascii="仿宋" w:hAnsi="仿宋" w:eastAsia="仿宋" w:cs="仿宋"/>
                <w:spacing w:val="-5"/>
                <w:sz w:val="21"/>
                <w:szCs w:val="21"/>
              </w:rPr>
              <w:t>、初次违法</w:t>
            </w:r>
          </w:p>
          <w:p>
            <w:pPr>
              <w:pStyle w:val="16"/>
              <w:spacing w:before="2" w:line="224" w:lineRule="auto"/>
              <w:ind w:right="58" w:rightChars="0"/>
              <w:jc w:val="both"/>
              <w:rPr>
                <w:rFonts w:hint="eastAsia" w:ascii="仿宋" w:hAnsi="仿宋" w:eastAsia="仿宋" w:cs="仿宋"/>
                <w:snapToGrid w:val="0"/>
                <w:color w:val="000000"/>
                <w:kern w:val="0"/>
                <w:sz w:val="21"/>
                <w:szCs w:val="21"/>
                <w:lang w:val="en-US" w:eastAsia="zh-CN" w:bidi="ar-SA"/>
              </w:rPr>
            </w:pPr>
            <w:r>
              <w:rPr>
                <w:rFonts w:hint="eastAsia" w:cs="仿宋"/>
                <w:spacing w:val="-7"/>
                <w:sz w:val="21"/>
                <w:szCs w:val="21"/>
                <w:lang w:val="en-US" w:eastAsia="zh-CN"/>
              </w:rPr>
              <w:t>2、</w:t>
            </w:r>
            <w:r>
              <w:rPr>
                <w:rFonts w:hint="eastAsia" w:ascii="仿宋" w:hAnsi="仿宋" w:eastAsia="仿宋" w:cs="仿宋"/>
                <w:spacing w:val="-7"/>
                <w:sz w:val="21"/>
                <w:szCs w:val="21"/>
              </w:rPr>
              <w:t>自行改正或经批评教</w:t>
            </w:r>
            <w:r>
              <w:rPr>
                <w:rFonts w:hint="eastAsia" w:ascii="仿宋" w:hAnsi="仿宋" w:eastAsia="仿宋" w:cs="仿宋"/>
                <w:spacing w:val="-8"/>
                <w:sz w:val="21"/>
                <w:szCs w:val="21"/>
              </w:rPr>
              <w:t>育</w:t>
            </w:r>
            <w:r>
              <w:rPr>
                <w:rFonts w:hint="eastAsia" w:cs="仿宋"/>
                <w:spacing w:val="-8"/>
                <w:sz w:val="21"/>
                <w:szCs w:val="21"/>
                <w:lang w:eastAsia="zh-CN"/>
              </w:rPr>
              <w:t>立即</w:t>
            </w:r>
            <w:r>
              <w:rPr>
                <w:rFonts w:hint="eastAsia" w:ascii="仿宋" w:hAnsi="仿宋" w:eastAsia="仿宋" w:cs="仿宋"/>
                <w:spacing w:val="-8"/>
                <w:sz w:val="21"/>
                <w:szCs w:val="21"/>
              </w:rPr>
              <w:t>改正</w:t>
            </w:r>
            <w:r>
              <w:rPr>
                <w:rFonts w:hint="eastAsia" w:cs="仿宋"/>
                <w:spacing w:val="-8"/>
                <w:sz w:val="21"/>
                <w:szCs w:val="21"/>
                <w:lang w:eastAsia="zh-CN"/>
              </w:rPr>
              <w:t>的</w:t>
            </w:r>
          </w:p>
        </w:tc>
        <w:tc>
          <w:tcPr>
            <w:tcW w:w="4107" w:type="dxa"/>
            <w:vAlign w:val="center"/>
          </w:tcPr>
          <w:p>
            <w:pPr>
              <w:pStyle w:val="16"/>
              <w:spacing w:before="243" w:line="224" w:lineRule="auto"/>
              <w:ind w:left="51" w:leftChars="0" w:right="231" w:rightChars="0" w:hanging="2" w:firstLineChars="0"/>
              <w:jc w:val="center"/>
              <w:rPr>
                <w:rFonts w:hint="eastAsia" w:ascii="仿宋" w:hAnsi="仿宋" w:eastAsia="仿宋" w:cs="仿宋"/>
                <w:spacing w:val="-2"/>
                <w:sz w:val="21"/>
                <w:szCs w:val="21"/>
              </w:rPr>
            </w:pPr>
            <w:r>
              <w:rPr>
                <w:rFonts w:hint="eastAsia" w:cs="仿宋"/>
                <w:spacing w:val="-2"/>
                <w:sz w:val="21"/>
                <w:szCs w:val="21"/>
                <w:lang w:eastAsia="zh-CN"/>
              </w:rPr>
              <w:t>《森林防火条例》</w:t>
            </w:r>
            <w:r>
              <w:rPr>
                <w:rFonts w:hint="eastAsia" w:ascii="仿宋" w:hAnsi="仿宋" w:eastAsia="仿宋" w:cs="仿宋"/>
                <w:spacing w:val="-2"/>
                <w:sz w:val="21"/>
                <w:szCs w:val="21"/>
              </w:rPr>
              <w:t>第四十八条 违反本条例规定，森林、林木、林地的经营单位或者个人未履行森林防火责任的，由县级以上地方人民政府林业主管部门责令改正，对个人处500元以上5000元以下罚款，对单位处1万元以上5万元以下罚款。</w:t>
            </w:r>
          </w:p>
          <w:p>
            <w:pPr>
              <w:pStyle w:val="16"/>
              <w:spacing w:before="243" w:line="224" w:lineRule="auto"/>
              <w:ind w:left="51" w:leftChars="0" w:right="231" w:rightChars="0" w:hanging="2" w:firstLineChars="0"/>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pacing w:val="-2"/>
                <w:sz w:val="21"/>
                <w:szCs w:val="21"/>
              </w:rPr>
              <w:t>《湖南省林业行政处罚裁量权基准》</w:t>
            </w:r>
            <w:r>
              <w:rPr>
                <w:rFonts w:hint="eastAsia" w:ascii="仿宋" w:hAnsi="仿宋" w:eastAsia="仿宋" w:cs="仿宋"/>
                <w:spacing w:val="-3"/>
                <w:sz w:val="21"/>
                <w:szCs w:val="21"/>
              </w:rPr>
              <w:t>第四十</w:t>
            </w:r>
            <w:r>
              <w:rPr>
                <w:rFonts w:hint="eastAsia" w:cs="仿宋"/>
                <w:spacing w:val="-3"/>
                <w:sz w:val="21"/>
                <w:szCs w:val="21"/>
                <w:lang w:eastAsia="zh-CN"/>
              </w:rPr>
              <w:t>一</w:t>
            </w:r>
            <w:r>
              <w:rPr>
                <w:rFonts w:hint="eastAsia" w:ascii="仿宋" w:hAnsi="仿宋" w:eastAsia="仿宋" w:cs="仿宋"/>
                <w:spacing w:val="-3"/>
                <w:sz w:val="21"/>
                <w:szCs w:val="21"/>
              </w:rPr>
              <w:t>条</w:t>
            </w:r>
            <w:r>
              <w:rPr>
                <w:rFonts w:hint="eastAsia" w:cs="仿宋"/>
                <w:spacing w:val="-3"/>
                <w:sz w:val="21"/>
                <w:szCs w:val="21"/>
                <w:lang w:eastAsia="zh-CN"/>
              </w:rPr>
              <w:t>第二项第一目</w:t>
            </w:r>
            <w:r>
              <w:rPr>
                <w:rFonts w:hint="eastAsia" w:ascii="仿宋" w:hAnsi="仿宋" w:eastAsia="仿宋" w:cs="仿宋"/>
                <w:spacing w:val="-3"/>
                <w:sz w:val="21"/>
                <w:szCs w:val="21"/>
              </w:rPr>
              <w:t>：经教育能主动改正的，</w:t>
            </w:r>
            <w:r>
              <w:rPr>
                <w:rFonts w:hint="eastAsia" w:ascii="仿宋" w:hAnsi="仿宋" w:eastAsia="仿宋" w:cs="仿宋"/>
                <w:spacing w:val="14"/>
                <w:sz w:val="21"/>
                <w:szCs w:val="21"/>
              </w:rPr>
              <w:t xml:space="preserve"> </w:t>
            </w:r>
            <w:r>
              <w:rPr>
                <w:rFonts w:hint="eastAsia" w:ascii="仿宋" w:hAnsi="仿宋" w:eastAsia="仿宋" w:cs="仿宋"/>
                <w:spacing w:val="-2"/>
                <w:sz w:val="21"/>
                <w:szCs w:val="21"/>
              </w:rPr>
              <w:t>责令改正，警告，不予罚款处罚。</w:t>
            </w:r>
          </w:p>
        </w:tc>
        <w:tc>
          <w:tcPr>
            <w:tcW w:w="2242" w:type="dxa"/>
            <w:vAlign w:val="center"/>
          </w:tcPr>
          <w:p>
            <w:pPr>
              <w:spacing w:line="308" w:lineRule="auto"/>
              <w:jc w:val="center"/>
              <w:rPr>
                <w:rFonts w:hint="eastAsia" w:ascii="仿宋" w:hAnsi="仿宋" w:eastAsia="仿宋" w:cs="仿宋"/>
                <w:sz w:val="21"/>
                <w:szCs w:val="21"/>
              </w:rPr>
            </w:pPr>
          </w:p>
          <w:p>
            <w:pPr>
              <w:pStyle w:val="16"/>
              <w:spacing w:before="78" w:line="223" w:lineRule="auto"/>
              <w:ind w:left="54" w:leftChars="0" w:right="30" w:rightChars="0" w:firstLine="4" w:firstLineChars="0"/>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rPr>
              <w:t>包容观察</w:t>
            </w:r>
          </w:p>
        </w:tc>
      </w:tr>
    </w:tbl>
    <w:p>
      <w:pPr>
        <w:jc w:val="center"/>
        <w:rPr>
          <w:rFonts w:hint="eastAsia" w:ascii="仿宋" w:hAnsi="仿宋" w:eastAsia="仿宋" w:cs="仿宋"/>
          <w:sz w:val="21"/>
          <w:szCs w:val="21"/>
        </w:rPr>
      </w:pPr>
    </w:p>
    <w:p>
      <w:pPr>
        <w:jc w:val="center"/>
        <w:rPr>
          <w:rFonts w:hint="eastAsia" w:ascii="仿宋" w:hAnsi="仿宋" w:eastAsia="仿宋" w:cs="仿宋"/>
          <w:sz w:val="21"/>
          <w:szCs w:val="21"/>
        </w:rPr>
        <w:sectPr>
          <w:footerReference r:id="rId5" w:type="default"/>
          <w:pgSz w:w="16840" w:h="11900"/>
          <w:pgMar w:top="1011" w:right="1250" w:bottom="1027" w:left="1230" w:header="0" w:footer="684" w:gutter="0"/>
          <w:cols w:space="720" w:num="1"/>
        </w:sectPr>
      </w:pPr>
    </w:p>
    <w:p>
      <w:pPr>
        <w:spacing w:before="177"/>
        <w:jc w:val="center"/>
        <w:rPr>
          <w:rFonts w:hint="eastAsia" w:ascii="仿宋" w:hAnsi="仿宋" w:eastAsia="仿宋" w:cs="仿宋"/>
          <w:sz w:val="21"/>
          <w:szCs w:val="21"/>
        </w:rPr>
      </w:pPr>
    </w:p>
    <w:tbl>
      <w:tblPr>
        <w:tblStyle w:val="15"/>
        <w:tblW w:w="1434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23"/>
        <w:gridCol w:w="1798"/>
        <w:gridCol w:w="2651"/>
        <w:gridCol w:w="2623"/>
        <w:gridCol w:w="3726"/>
        <w:gridCol w:w="26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923" w:type="dxa"/>
            <w:vAlign w:val="center"/>
          </w:tcPr>
          <w:p>
            <w:pPr>
              <w:pStyle w:val="16"/>
              <w:spacing w:before="192" w:line="222" w:lineRule="auto"/>
              <w:ind w:left="200"/>
              <w:jc w:val="center"/>
              <w:rPr>
                <w:rFonts w:hint="eastAsia" w:ascii="仿宋" w:hAnsi="仿宋" w:eastAsia="仿宋" w:cs="仿宋"/>
                <w:sz w:val="21"/>
                <w:szCs w:val="21"/>
              </w:rPr>
            </w:pPr>
            <w:r>
              <w:rPr>
                <w:rFonts w:hint="eastAsia" w:ascii="仿宋" w:hAnsi="仿宋" w:eastAsia="仿宋" w:cs="仿宋"/>
                <w:spacing w:val="-9"/>
                <w:sz w:val="21"/>
                <w:szCs w:val="21"/>
                <w14:textOutline w14:w="5085" w14:cap="sq" w14:cmpd="sng">
                  <w14:solidFill>
                    <w14:srgbClr w14:val="000000"/>
                  </w14:solidFill>
                  <w14:prstDash w14:val="solid"/>
                  <w14:bevel/>
                </w14:textOutline>
              </w:rPr>
              <w:t>序号</w:t>
            </w:r>
          </w:p>
        </w:tc>
        <w:tc>
          <w:tcPr>
            <w:tcW w:w="1798" w:type="dxa"/>
            <w:vAlign w:val="center"/>
          </w:tcPr>
          <w:p>
            <w:pPr>
              <w:pStyle w:val="16"/>
              <w:spacing w:before="192" w:line="223" w:lineRule="auto"/>
              <w:ind w:left="83"/>
              <w:jc w:val="center"/>
              <w:rPr>
                <w:rFonts w:hint="eastAsia" w:ascii="仿宋" w:hAnsi="仿宋" w:eastAsia="仿宋" w:cs="仿宋"/>
                <w:sz w:val="21"/>
                <w:szCs w:val="21"/>
              </w:rPr>
            </w:pPr>
            <w:r>
              <w:rPr>
                <w:rFonts w:hint="eastAsia" w:ascii="仿宋" w:hAnsi="仿宋" w:eastAsia="仿宋" w:cs="仿宋"/>
                <w:spacing w:val="-5"/>
                <w:sz w:val="21"/>
                <w:szCs w:val="21"/>
                <w14:textOutline w14:w="5085" w14:cap="sq" w14:cmpd="sng">
                  <w14:solidFill>
                    <w14:srgbClr w14:val="000000"/>
                  </w14:solidFill>
                  <w14:prstDash w14:val="solid"/>
                  <w14:bevel/>
                </w14:textOutline>
              </w:rPr>
              <w:t>包容处罚类型</w:t>
            </w:r>
          </w:p>
        </w:tc>
        <w:tc>
          <w:tcPr>
            <w:tcW w:w="2651" w:type="dxa"/>
            <w:vAlign w:val="center"/>
          </w:tcPr>
          <w:p>
            <w:pPr>
              <w:pStyle w:val="16"/>
              <w:spacing w:before="191" w:line="221" w:lineRule="auto"/>
              <w:ind w:left="784"/>
              <w:jc w:val="both"/>
              <w:rPr>
                <w:rFonts w:hint="eastAsia" w:ascii="仿宋" w:hAnsi="仿宋" w:eastAsia="仿宋" w:cs="仿宋"/>
                <w:sz w:val="21"/>
                <w:szCs w:val="21"/>
              </w:rPr>
            </w:pPr>
            <w:r>
              <w:rPr>
                <w:rFonts w:hint="eastAsia" w:ascii="仿宋" w:hAnsi="仿宋" w:eastAsia="仿宋" w:cs="仿宋"/>
                <w:spacing w:val="-5"/>
                <w:sz w:val="21"/>
                <w:szCs w:val="21"/>
                <w14:textOutline w14:w="5085" w14:cap="sq" w14:cmpd="sng">
                  <w14:solidFill>
                    <w14:srgbClr w14:val="000000"/>
                  </w14:solidFill>
                  <w14:prstDash w14:val="solid"/>
                  <w14:bevel/>
                </w14:textOutline>
              </w:rPr>
              <w:t>违法行为</w:t>
            </w:r>
          </w:p>
        </w:tc>
        <w:tc>
          <w:tcPr>
            <w:tcW w:w="2623" w:type="dxa"/>
            <w:vAlign w:val="center"/>
          </w:tcPr>
          <w:p>
            <w:pPr>
              <w:pStyle w:val="16"/>
              <w:spacing w:before="192" w:line="222" w:lineRule="auto"/>
              <w:ind w:left="774"/>
              <w:jc w:val="both"/>
              <w:rPr>
                <w:rFonts w:hint="eastAsia" w:ascii="仿宋" w:hAnsi="仿宋" w:eastAsia="仿宋" w:cs="仿宋"/>
                <w:sz w:val="21"/>
                <w:szCs w:val="21"/>
              </w:rPr>
            </w:pPr>
            <w:r>
              <w:rPr>
                <w:rFonts w:hint="eastAsia" w:ascii="仿宋" w:hAnsi="仿宋" w:eastAsia="仿宋" w:cs="仿宋"/>
                <w:spacing w:val="-5"/>
                <w:sz w:val="21"/>
                <w:szCs w:val="21"/>
                <w14:textOutline w14:w="5085" w14:cap="sq" w14:cmpd="sng">
                  <w14:solidFill>
                    <w14:srgbClr w14:val="000000"/>
                  </w14:solidFill>
                  <w14:prstDash w14:val="solid"/>
                  <w14:bevel/>
                </w14:textOutline>
              </w:rPr>
              <w:t>具体情形</w:t>
            </w:r>
          </w:p>
        </w:tc>
        <w:tc>
          <w:tcPr>
            <w:tcW w:w="3726" w:type="dxa"/>
            <w:vAlign w:val="center"/>
          </w:tcPr>
          <w:p>
            <w:pPr>
              <w:pStyle w:val="16"/>
              <w:spacing w:before="192" w:line="223" w:lineRule="auto"/>
              <w:ind w:firstLine="1764" w:firstLineChars="900"/>
              <w:jc w:val="both"/>
              <w:rPr>
                <w:rFonts w:hint="eastAsia" w:ascii="仿宋" w:hAnsi="仿宋" w:eastAsia="仿宋" w:cs="仿宋"/>
                <w:sz w:val="21"/>
                <w:szCs w:val="21"/>
              </w:rPr>
            </w:pPr>
            <w:r>
              <w:rPr>
                <w:rFonts w:hint="eastAsia" w:ascii="仿宋" w:hAnsi="仿宋" w:eastAsia="仿宋" w:cs="仿宋"/>
                <w:spacing w:val="-7"/>
                <w:sz w:val="21"/>
                <w:szCs w:val="21"/>
                <w14:textOutline w14:w="5085" w14:cap="sq" w14:cmpd="sng">
                  <w14:solidFill>
                    <w14:srgbClr w14:val="000000"/>
                  </w14:solidFill>
                  <w14:prstDash w14:val="solid"/>
                  <w14:bevel/>
                </w14:textOutline>
              </w:rPr>
              <w:t>法定依据</w:t>
            </w:r>
          </w:p>
        </w:tc>
        <w:tc>
          <w:tcPr>
            <w:tcW w:w="2623" w:type="dxa"/>
            <w:vAlign w:val="center"/>
          </w:tcPr>
          <w:p>
            <w:pPr>
              <w:pStyle w:val="16"/>
              <w:spacing w:before="191" w:line="221" w:lineRule="auto"/>
              <w:ind w:left="302"/>
              <w:jc w:val="center"/>
              <w:rPr>
                <w:rFonts w:hint="eastAsia" w:ascii="仿宋" w:hAnsi="仿宋" w:eastAsia="仿宋" w:cs="仿宋"/>
                <w:sz w:val="21"/>
                <w:szCs w:val="21"/>
              </w:rPr>
            </w:pPr>
            <w:r>
              <w:rPr>
                <w:rFonts w:hint="eastAsia" w:ascii="仿宋" w:hAnsi="仿宋" w:eastAsia="仿宋" w:cs="仿宋"/>
                <w:b/>
                <w:bCs/>
                <w:sz w:val="21"/>
                <w:szCs w:val="21"/>
              </w:rPr>
              <w:t>配套监管措施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10" w:hRule="atLeast"/>
        </w:trPr>
        <w:tc>
          <w:tcPr>
            <w:tcW w:w="923" w:type="dxa"/>
            <w:vAlign w:val="center"/>
          </w:tcPr>
          <w:p>
            <w:pPr>
              <w:pStyle w:val="16"/>
              <w:spacing w:before="78" w:line="179" w:lineRule="auto"/>
              <w:ind w:firstLine="420" w:firstLineChars="200"/>
              <w:jc w:val="both"/>
              <w:rPr>
                <w:rFonts w:hint="default" w:ascii="仿宋" w:hAnsi="仿宋" w:eastAsia="仿宋" w:cs="仿宋"/>
                <w:sz w:val="21"/>
                <w:szCs w:val="21"/>
                <w:lang w:val="en-US" w:eastAsia="zh-CN"/>
              </w:rPr>
            </w:pPr>
            <w:r>
              <w:rPr>
                <w:rFonts w:hint="eastAsia" w:cs="仿宋"/>
                <w:sz w:val="21"/>
                <w:szCs w:val="21"/>
                <w:lang w:val="en-US" w:eastAsia="zh-CN"/>
              </w:rPr>
              <w:t>4</w:t>
            </w:r>
          </w:p>
        </w:tc>
        <w:tc>
          <w:tcPr>
            <w:tcW w:w="1798" w:type="dxa"/>
            <w:vAlign w:val="center"/>
          </w:tcPr>
          <w:p>
            <w:pPr>
              <w:spacing w:line="454" w:lineRule="auto"/>
              <w:jc w:val="center"/>
              <w:rPr>
                <w:rFonts w:ascii="Arial"/>
                <w:sz w:val="21"/>
                <w:szCs w:val="21"/>
              </w:rPr>
            </w:pPr>
          </w:p>
          <w:p>
            <w:pPr>
              <w:pStyle w:val="16"/>
              <w:spacing w:before="78" w:line="221" w:lineRule="auto"/>
              <w:ind w:left="197" w:leftChars="0"/>
              <w:jc w:val="center"/>
              <w:rPr>
                <w:rFonts w:hint="eastAsia" w:ascii="仿宋" w:hAnsi="仿宋" w:eastAsia="仿宋" w:cs="仿宋"/>
                <w:sz w:val="21"/>
                <w:szCs w:val="21"/>
              </w:rPr>
            </w:pPr>
            <w:r>
              <w:rPr>
                <w:spacing w:val="-4"/>
                <w:sz w:val="21"/>
                <w:szCs w:val="21"/>
              </w:rPr>
              <w:t>不予行政处罚</w:t>
            </w:r>
          </w:p>
        </w:tc>
        <w:tc>
          <w:tcPr>
            <w:tcW w:w="2651" w:type="dxa"/>
            <w:vAlign w:val="center"/>
          </w:tcPr>
          <w:p>
            <w:pPr>
              <w:pStyle w:val="16"/>
              <w:spacing w:before="98" w:line="224" w:lineRule="auto"/>
              <w:ind w:left="44" w:leftChars="0" w:right="207" w:rightChars="0" w:firstLine="2" w:firstLineChars="0"/>
              <w:jc w:val="center"/>
              <w:rPr>
                <w:rFonts w:hint="eastAsia" w:ascii="仿宋" w:hAnsi="仿宋" w:eastAsia="仿宋" w:cs="仿宋"/>
                <w:sz w:val="21"/>
                <w:szCs w:val="21"/>
              </w:rPr>
            </w:pPr>
            <w:r>
              <w:rPr>
                <w:spacing w:val="-2"/>
                <w:sz w:val="21"/>
                <w:szCs w:val="21"/>
              </w:rPr>
              <w:t>森林防火期内，森林、林木、林地的经营单位</w:t>
            </w:r>
            <w:r>
              <w:rPr>
                <w:spacing w:val="3"/>
                <w:sz w:val="21"/>
                <w:szCs w:val="21"/>
              </w:rPr>
              <w:t xml:space="preserve"> </w:t>
            </w:r>
            <w:r>
              <w:rPr>
                <w:spacing w:val="-2"/>
                <w:sz w:val="21"/>
                <w:szCs w:val="21"/>
              </w:rPr>
              <w:t>未设置森林防火警示宣</w:t>
            </w:r>
            <w:r>
              <w:rPr>
                <w:spacing w:val="3"/>
                <w:sz w:val="21"/>
                <w:szCs w:val="21"/>
              </w:rPr>
              <w:t xml:space="preserve"> </w:t>
            </w:r>
            <w:r>
              <w:rPr>
                <w:spacing w:val="-4"/>
                <w:sz w:val="21"/>
                <w:szCs w:val="21"/>
              </w:rPr>
              <w:t>传标志</w:t>
            </w:r>
          </w:p>
        </w:tc>
        <w:tc>
          <w:tcPr>
            <w:tcW w:w="2623" w:type="dxa"/>
            <w:vAlign w:val="center"/>
          </w:tcPr>
          <w:p>
            <w:pPr>
              <w:pStyle w:val="16"/>
              <w:spacing w:before="98" w:line="223" w:lineRule="auto"/>
              <w:ind w:left="55" w:right="476" w:firstLine="17"/>
              <w:jc w:val="center"/>
              <w:rPr>
                <w:spacing w:val="-12"/>
                <w:sz w:val="21"/>
                <w:szCs w:val="21"/>
              </w:rPr>
            </w:pPr>
            <w:r>
              <w:rPr>
                <w:spacing w:val="-12"/>
                <w:sz w:val="21"/>
                <w:szCs w:val="21"/>
              </w:rPr>
              <w:t>同时满足以下条件：</w:t>
            </w:r>
          </w:p>
          <w:p>
            <w:pPr>
              <w:pStyle w:val="16"/>
              <w:spacing w:before="98" w:line="223" w:lineRule="auto"/>
              <w:ind w:left="55" w:right="476" w:firstLine="17"/>
              <w:jc w:val="both"/>
              <w:rPr>
                <w:sz w:val="21"/>
                <w:szCs w:val="21"/>
              </w:rPr>
            </w:pPr>
            <w:r>
              <w:rPr>
                <w:spacing w:val="-5"/>
                <w:sz w:val="21"/>
                <w:szCs w:val="21"/>
              </w:rPr>
              <w:t>1、初次违法</w:t>
            </w:r>
          </w:p>
          <w:p>
            <w:pPr>
              <w:pStyle w:val="16"/>
              <w:spacing w:before="2" w:line="224" w:lineRule="auto"/>
              <w:ind w:left="51" w:leftChars="0" w:right="58" w:rightChars="0" w:hanging="11" w:firstLineChars="0"/>
              <w:jc w:val="center"/>
              <w:rPr>
                <w:rFonts w:hint="eastAsia" w:ascii="仿宋" w:hAnsi="仿宋" w:eastAsia="仿宋" w:cs="仿宋"/>
                <w:sz w:val="21"/>
                <w:szCs w:val="21"/>
              </w:rPr>
            </w:pPr>
            <w:r>
              <w:rPr>
                <w:spacing w:val="-7"/>
                <w:sz w:val="21"/>
                <w:szCs w:val="21"/>
              </w:rPr>
              <w:t>2、</w:t>
            </w:r>
            <w:r>
              <w:rPr>
                <w:spacing w:val="-56"/>
                <w:sz w:val="21"/>
                <w:szCs w:val="21"/>
              </w:rPr>
              <w:t xml:space="preserve"> </w:t>
            </w:r>
            <w:r>
              <w:rPr>
                <w:spacing w:val="-7"/>
                <w:sz w:val="21"/>
                <w:szCs w:val="21"/>
              </w:rPr>
              <w:t>自行改正或经批评教</w:t>
            </w:r>
            <w:r>
              <w:rPr>
                <w:sz w:val="21"/>
                <w:szCs w:val="21"/>
              </w:rPr>
              <w:t xml:space="preserve"> </w:t>
            </w:r>
            <w:r>
              <w:rPr>
                <w:spacing w:val="-8"/>
                <w:sz w:val="21"/>
                <w:szCs w:val="21"/>
              </w:rPr>
              <w:t>育改正</w:t>
            </w:r>
          </w:p>
        </w:tc>
        <w:tc>
          <w:tcPr>
            <w:tcW w:w="3726" w:type="dxa"/>
            <w:vAlign w:val="center"/>
          </w:tcPr>
          <w:p>
            <w:pPr>
              <w:pStyle w:val="16"/>
              <w:spacing w:before="243" w:line="224" w:lineRule="auto"/>
              <w:ind w:right="231" w:rightChars="0"/>
              <w:jc w:val="both"/>
              <w:rPr>
                <w:rFonts w:hint="eastAsia" w:eastAsia="仿宋"/>
                <w:spacing w:val="-2"/>
                <w:sz w:val="21"/>
                <w:szCs w:val="21"/>
                <w:lang w:eastAsia="zh-CN"/>
              </w:rPr>
            </w:pPr>
            <w:r>
              <w:rPr>
                <w:rFonts w:hint="eastAsia"/>
                <w:spacing w:val="-2"/>
                <w:sz w:val="21"/>
                <w:szCs w:val="21"/>
                <w:lang w:eastAsia="zh-CN"/>
              </w:rPr>
              <w:t>《森林防火条例》</w:t>
            </w:r>
            <w:r>
              <w:rPr>
                <w:rFonts w:hint="eastAsia"/>
                <w:spacing w:val="-2"/>
                <w:sz w:val="21"/>
                <w:szCs w:val="21"/>
              </w:rPr>
              <w:t>第五十二条 违反本条例规定，有下列行为之一的，由县级以上地方人民政府林业主管部门责令改正，给予警告，对个人并处200元以上2000元以下罚款，对单位并处2000元以上5000元以下罚款： （一）森林防火期内，森林、林木、林地的经营单位未设置森林防火警示宣传标志的</w:t>
            </w:r>
            <w:r>
              <w:rPr>
                <w:rFonts w:hint="eastAsia"/>
                <w:spacing w:val="-2"/>
                <w:sz w:val="21"/>
                <w:szCs w:val="21"/>
                <w:lang w:eastAsia="zh-CN"/>
              </w:rPr>
              <w:t>。</w:t>
            </w:r>
          </w:p>
          <w:p>
            <w:pPr>
              <w:pStyle w:val="16"/>
              <w:spacing w:before="243" w:line="224" w:lineRule="auto"/>
              <w:ind w:left="51" w:leftChars="0" w:right="231" w:rightChars="0" w:hanging="2" w:firstLineChars="0"/>
              <w:jc w:val="both"/>
              <w:rPr>
                <w:rFonts w:hint="eastAsia" w:ascii="仿宋" w:hAnsi="仿宋" w:eastAsia="仿宋" w:cs="仿宋"/>
                <w:sz w:val="21"/>
                <w:szCs w:val="21"/>
              </w:rPr>
            </w:pPr>
            <w:r>
              <w:rPr>
                <w:spacing w:val="-2"/>
                <w:sz w:val="21"/>
                <w:szCs w:val="21"/>
              </w:rPr>
              <w:t>《湖南省林业行政处罚裁量权基准》</w:t>
            </w:r>
            <w:r>
              <w:rPr>
                <w:spacing w:val="1"/>
                <w:sz w:val="21"/>
                <w:szCs w:val="21"/>
              </w:rPr>
              <w:t xml:space="preserve"> </w:t>
            </w:r>
            <w:r>
              <w:rPr>
                <w:spacing w:val="-3"/>
                <w:sz w:val="21"/>
                <w:szCs w:val="21"/>
              </w:rPr>
              <w:t>第四十五条</w:t>
            </w:r>
            <w:r>
              <w:rPr>
                <w:rFonts w:hint="eastAsia"/>
                <w:spacing w:val="-3"/>
                <w:sz w:val="21"/>
                <w:szCs w:val="21"/>
                <w:lang w:eastAsia="zh-CN"/>
              </w:rPr>
              <w:t>第二项第</w:t>
            </w:r>
            <w:r>
              <w:rPr>
                <w:rFonts w:hint="eastAsia"/>
                <w:spacing w:val="-3"/>
                <w:sz w:val="21"/>
                <w:szCs w:val="21"/>
                <w:lang w:val="en-US" w:eastAsia="zh-CN"/>
              </w:rPr>
              <w:t>1目</w:t>
            </w:r>
            <w:r>
              <w:rPr>
                <w:spacing w:val="-3"/>
                <w:sz w:val="21"/>
                <w:szCs w:val="21"/>
              </w:rPr>
              <w:t>：经教育能主动改正的，</w:t>
            </w:r>
            <w:r>
              <w:rPr>
                <w:spacing w:val="14"/>
                <w:sz w:val="21"/>
                <w:szCs w:val="21"/>
              </w:rPr>
              <w:t xml:space="preserve"> </w:t>
            </w:r>
            <w:r>
              <w:rPr>
                <w:spacing w:val="-2"/>
                <w:sz w:val="21"/>
                <w:szCs w:val="21"/>
              </w:rPr>
              <w:t>责令改正，警告，不予罚款处罚。</w:t>
            </w:r>
          </w:p>
        </w:tc>
        <w:tc>
          <w:tcPr>
            <w:tcW w:w="2623" w:type="dxa"/>
            <w:vAlign w:val="center"/>
          </w:tcPr>
          <w:p>
            <w:pPr>
              <w:jc w:val="both"/>
              <w:rPr>
                <w:rFonts w:hint="eastAsia" w:ascii="仿宋" w:hAnsi="仿宋" w:eastAsia="仿宋" w:cs="仿宋"/>
                <w:sz w:val="21"/>
                <w:szCs w:val="21"/>
              </w:rPr>
            </w:pPr>
            <w:r>
              <w:rPr>
                <w:rFonts w:hint="eastAsia" w:ascii="仿宋" w:hAnsi="仿宋" w:eastAsia="仿宋" w:cs="仿宋"/>
                <w:sz w:val="21"/>
                <w:szCs w:val="21"/>
              </w:rPr>
              <w:t>包容观察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14" w:hRule="atLeast"/>
        </w:trPr>
        <w:tc>
          <w:tcPr>
            <w:tcW w:w="923" w:type="dxa"/>
            <w:vAlign w:val="center"/>
          </w:tcPr>
          <w:p>
            <w:pPr>
              <w:pStyle w:val="16"/>
              <w:spacing w:before="78" w:line="179" w:lineRule="auto"/>
              <w:ind w:firstLine="420" w:firstLineChars="200"/>
              <w:jc w:val="both"/>
              <w:rPr>
                <w:rFonts w:hint="default" w:ascii="仿宋" w:hAnsi="仿宋" w:eastAsia="仿宋" w:cs="仿宋"/>
                <w:snapToGrid w:val="0"/>
                <w:color w:val="000000"/>
                <w:kern w:val="0"/>
                <w:sz w:val="21"/>
                <w:szCs w:val="21"/>
                <w:lang w:val="en-US" w:eastAsia="zh-CN" w:bidi="ar-SA"/>
              </w:rPr>
            </w:pPr>
            <w:r>
              <w:rPr>
                <w:rFonts w:hint="eastAsia" w:cs="仿宋"/>
                <w:snapToGrid w:val="0"/>
                <w:color w:val="000000"/>
                <w:kern w:val="0"/>
                <w:sz w:val="21"/>
                <w:szCs w:val="21"/>
                <w:lang w:val="en-US" w:eastAsia="zh-CN" w:bidi="ar-SA"/>
              </w:rPr>
              <w:t>5</w:t>
            </w:r>
          </w:p>
        </w:tc>
        <w:tc>
          <w:tcPr>
            <w:tcW w:w="1798" w:type="dxa"/>
            <w:vAlign w:val="center"/>
          </w:tcPr>
          <w:p>
            <w:pPr>
              <w:pStyle w:val="16"/>
              <w:spacing w:before="78" w:line="221" w:lineRule="auto"/>
              <w:ind w:firstLine="202" w:firstLineChars="100"/>
              <w:jc w:val="both"/>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pacing w:val="-4"/>
                <w:sz w:val="21"/>
                <w:szCs w:val="21"/>
              </w:rPr>
              <w:t>不予行政处罚</w:t>
            </w:r>
          </w:p>
        </w:tc>
        <w:tc>
          <w:tcPr>
            <w:tcW w:w="2651" w:type="dxa"/>
            <w:vAlign w:val="center"/>
          </w:tcPr>
          <w:p>
            <w:pPr>
              <w:pStyle w:val="16"/>
              <w:spacing w:before="209" w:line="224" w:lineRule="auto"/>
              <w:ind w:left="44" w:leftChars="0" w:right="207" w:rightChars="0"/>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pacing w:val="-2"/>
                <w:sz w:val="21"/>
                <w:szCs w:val="21"/>
              </w:rPr>
              <w:t>林草种苗生产经营者未</w:t>
            </w:r>
            <w:r>
              <w:rPr>
                <w:rFonts w:hint="eastAsia" w:ascii="仿宋" w:hAnsi="仿宋" w:eastAsia="仿宋" w:cs="仿宋"/>
                <w:spacing w:val="3"/>
                <w:sz w:val="21"/>
                <w:szCs w:val="21"/>
              </w:rPr>
              <w:t xml:space="preserve"> </w:t>
            </w:r>
            <w:r>
              <w:rPr>
                <w:rFonts w:hint="eastAsia" w:ascii="仿宋" w:hAnsi="仿宋" w:eastAsia="仿宋" w:cs="仿宋"/>
                <w:spacing w:val="-8"/>
                <w:sz w:val="21"/>
                <w:szCs w:val="21"/>
              </w:rPr>
              <w:t>依法备案</w:t>
            </w:r>
          </w:p>
        </w:tc>
        <w:tc>
          <w:tcPr>
            <w:tcW w:w="2623" w:type="dxa"/>
            <w:vAlign w:val="center"/>
          </w:tcPr>
          <w:p>
            <w:pPr>
              <w:spacing w:line="273" w:lineRule="auto"/>
              <w:jc w:val="center"/>
              <w:rPr>
                <w:rFonts w:hint="eastAsia" w:ascii="仿宋" w:hAnsi="仿宋" w:eastAsia="仿宋" w:cs="仿宋"/>
                <w:sz w:val="21"/>
                <w:szCs w:val="21"/>
              </w:rPr>
            </w:pPr>
          </w:p>
          <w:p>
            <w:pPr>
              <w:pStyle w:val="16"/>
              <w:spacing w:before="78" w:line="224" w:lineRule="auto"/>
              <w:ind w:left="55" w:right="476" w:firstLine="17"/>
              <w:jc w:val="center"/>
              <w:rPr>
                <w:rFonts w:hint="eastAsia" w:ascii="仿宋" w:hAnsi="仿宋" w:eastAsia="仿宋" w:cs="仿宋"/>
                <w:spacing w:val="4"/>
                <w:sz w:val="21"/>
                <w:szCs w:val="21"/>
              </w:rPr>
            </w:pPr>
            <w:r>
              <w:rPr>
                <w:rFonts w:hint="eastAsia" w:ascii="仿宋" w:hAnsi="仿宋" w:eastAsia="仿宋" w:cs="仿宋"/>
                <w:spacing w:val="-12"/>
                <w:sz w:val="21"/>
                <w:szCs w:val="21"/>
              </w:rPr>
              <w:t>同时满足以下条件：</w:t>
            </w:r>
            <w:r>
              <w:rPr>
                <w:rFonts w:hint="eastAsia" w:ascii="仿宋" w:hAnsi="仿宋" w:eastAsia="仿宋" w:cs="仿宋"/>
                <w:spacing w:val="4"/>
                <w:sz w:val="21"/>
                <w:szCs w:val="21"/>
              </w:rPr>
              <w:t xml:space="preserve"> </w:t>
            </w:r>
          </w:p>
          <w:p>
            <w:pPr>
              <w:pStyle w:val="16"/>
              <w:numPr>
                <w:ilvl w:val="0"/>
                <w:numId w:val="1"/>
              </w:numPr>
              <w:spacing w:before="78" w:line="224" w:lineRule="auto"/>
              <w:ind w:left="55" w:right="476" w:firstLine="17"/>
              <w:jc w:val="both"/>
              <w:rPr>
                <w:rFonts w:hint="eastAsia" w:ascii="仿宋" w:hAnsi="仿宋" w:eastAsia="仿宋" w:cs="仿宋"/>
                <w:spacing w:val="-5"/>
                <w:sz w:val="21"/>
                <w:szCs w:val="21"/>
              </w:rPr>
            </w:pPr>
            <w:r>
              <w:rPr>
                <w:rFonts w:hint="eastAsia" w:ascii="仿宋" w:hAnsi="仿宋" w:eastAsia="仿宋" w:cs="仿宋"/>
                <w:spacing w:val="-5"/>
                <w:sz w:val="21"/>
                <w:szCs w:val="21"/>
              </w:rPr>
              <w:t>初次违法</w:t>
            </w:r>
          </w:p>
          <w:p>
            <w:pPr>
              <w:pStyle w:val="16"/>
              <w:numPr>
                <w:ilvl w:val="0"/>
                <w:numId w:val="1"/>
              </w:numPr>
              <w:spacing w:before="78" w:line="224" w:lineRule="auto"/>
              <w:ind w:left="55" w:right="476" w:firstLine="17"/>
              <w:jc w:val="both"/>
              <w:rPr>
                <w:rFonts w:hint="eastAsia" w:ascii="仿宋" w:hAnsi="仿宋" w:eastAsia="仿宋" w:cs="仿宋"/>
                <w:spacing w:val="-5"/>
                <w:sz w:val="21"/>
                <w:szCs w:val="21"/>
              </w:rPr>
            </w:pPr>
            <w:r>
              <w:rPr>
                <w:rFonts w:hint="eastAsia" w:ascii="仿宋" w:hAnsi="仿宋" w:eastAsia="仿宋" w:cs="仿宋"/>
                <w:spacing w:val="-8"/>
                <w:sz w:val="21"/>
                <w:szCs w:val="21"/>
              </w:rPr>
              <w:t>自应</w:t>
            </w:r>
            <w:r>
              <w:rPr>
                <w:rFonts w:hint="eastAsia" w:ascii="仿宋" w:hAnsi="仿宋" w:eastAsia="仿宋" w:cs="仿宋"/>
                <w:spacing w:val="-11"/>
                <w:sz w:val="21"/>
                <w:szCs w:val="21"/>
              </w:rPr>
              <w:t>当备案之日起15日内</w:t>
            </w:r>
            <w:r>
              <w:rPr>
                <w:rFonts w:hint="eastAsia" w:ascii="仿宋" w:hAnsi="仿宋" w:eastAsia="仿宋" w:cs="仿宋"/>
                <w:spacing w:val="-2"/>
                <w:sz w:val="21"/>
                <w:szCs w:val="21"/>
              </w:rPr>
              <w:t>没有备案的但能立即改</w:t>
            </w:r>
            <w:r>
              <w:rPr>
                <w:rFonts w:hint="eastAsia" w:ascii="仿宋" w:hAnsi="仿宋" w:eastAsia="仿宋" w:cs="仿宋"/>
                <w:spacing w:val="-3"/>
                <w:sz w:val="21"/>
                <w:szCs w:val="21"/>
              </w:rPr>
              <w:t>正的</w:t>
            </w:r>
          </w:p>
          <w:p>
            <w:pPr>
              <w:pStyle w:val="16"/>
              <w:spacing w:before="2" w:line="223" w:lineRule="auto"/>
              <w:ind w:right="58" w:rightChars="0"/>
              <w:jc w:val="both"/>
              <w:rPr>
                <w:rFonts w:hint="eastAsia" w:ascii="仿宋" w:hAnsi="仿宋" w:eastAsia="仿宋" w:cs="仿宋"/>
                <w:snapToGrid w:val="0"/>
                <w:color w:val="000000"/>
                <w:kern w:val="0"/>
                <w:sz w:val="21"/>
                <w:szCs w:val="21"/>
                <w:lang w:val="en-US" w:eastAsia="en-US" w:bidi="ar-SA"/>
              </w:rPr>
            </w:pPr>
          </w:p>
        </w:tc>
        <w:tc>
          <w:tcPr>
            <w:tcW w:w="3726" w:type="dxa"/>
            <w:vAlign w:val="center"/>
          </w:tcPr>
          <w:p>
            <w:pPr>
              <w:spacing w:line="273" w:lineRule="auto"/>
              <w:jc w:val="center"/>
              <w:rPr>
                <w:rFonts w:hint="eastAsia" w:ascii="仿宋" w:hAnsi="仿宋" w:eastAsia="仿宋" w:cs="仿宋"/>
                <w:sz w:val="21"/>
                <w:szCs w:val="21"/>
              </w:rPr>
            </w:pPr>
          </w:p>
          <w:p>
            <w:pPr>
              <w:pStyle w:val="16"/>
              <w:spacing w:before="78" w:line="224" w:lineRule="auto"/>
              <w:ind w:left="54" w:leftChars="0" w:right="217" w:rightChars="0" w:hanging="5" w:firstLineChars="0"/>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pacing w:val="-2"/>
                <w:sz w:val="21"/>
                <w:szCs w:val="21"/>
              </w:rPr>
              <w:t>《湖南省林业行政处罚裁量权基准》</w:t>
            </w:r>
            <w:r>
              <w:rPr>
                <w:rFonts w:hint="eastAsia" w:ascii="仿宋" w:hAnsi="仿宋" w:eastAsia="仿宋" w:cs="仿宋"/>
                <w:spacing w:val="6"/>
                <w:sz w:val="21"/>
                <w:szCs w:val="21"/>
              </w:rPr>
              <w:t xml:space="preserve"> </w:t>
            </w:r>
            <w:r>
              <w:rPr>
                <w:rFonts w:hint="eastAsia" w:ascii="仿宋" w:hAnsi="仿宋" w:eastAsia="仿宋" w:cs="仿宋"/>
                <w:spacing w:val="-5"/>
                <w:sz w:val="21"/>
                <w:szCs w:val="21"/>
              </w:rPr>
              <w:t>第七十六条：</w:t>
            </w:r>
            <w:r>
              <w:rPr>
                <w:rFonts w:hint="eastAsia" w:ascii="仿宋" w:hAnsi="仿宋" w:eastAsia="仿宋" w:cs="仿宋"/>
                <w:spacing w:val="-57"/>
                <w:sz w:val="21"/>
                <w:szCs w:val="21"/>
              </w:rPr>
              <w:t xml:space="preserve"> </w:t>
            </w:r>
            <w:r>
              <w:rPr>
                <w:rFonts w:hint="eastAsia" w:ascii="仿宋" w:hAnsi="仿宋" w:eastAsia="仿宋" w:cs="仿宋"/>
                <w:spacing w:val="-5"/>
                <w:sz w:val="21"/>
                <w:szCs w:val="21"/>
              </w:rPr>
              <w:t>自应当备案之日起15日</w:t>
            </w:r>
            <w:r>
              <w:rPr>
                <w:rFonts w:hint="eastAsia" w:ascii="仿宋" w:hAnsi="仿宋" w:eastAsia="仿宋" w:cs="仿宋"/>
                <w:sz w:val="21"/>
                <w:szCs w:val="21"/>
              </w:rPr>
              <w:t xml:space="preserve"> </w:t>
            </w:r>
            <w:r>
              <w:rPr>
                <w:rFonts w:hint="eastAsia" w:ascii="仿宋" w:hAnsi="仿宋" w:eastAsia="仿宋" w:cs="仿宋"/>
                <w:spacing w:val="-2"/>
                <w:sz w:val="21"/>
                <w:szCs w:val="21"/>
              </w:rPr>
              <w:t>内没有备案的但能立即改正的，可免</w:t>
            </w:r>
            <w:r>
              <w:rPr>
                <w:rFonts w:hint="eastAsia" w:ascii="仿宋" w:hAnsi="仿宋" w:eastAsia="仿宋" w:cs="仿宋"/>
                <w:spacing w:val="10"/>
                <w:sz w:val="21"/>
                <w:szCs w:val="21"/>
              </w:rPr>
              <w:t xml:space="preserve"> </w:t>
            </w:r>
            <w:r>
              <w:rPr>
                <w:rFonts w:hint="eastAsia" w:ascii="仿宋" w:hAnsi="仿宋" w:eastAsia="仿宋" w:cs="仿宋"/>
                <w:spacing w:val="-6"/>
                <w:sz w:val="21"/>
                <w:szCs w:val="21"/>
              </w:rPr>
              <w:t>于处罚。</w:t>
            </w:r>
          </w:p>
        </w:tc>
        <w:tc>
          <w:tcPr>
            <w:tcW w:w="2623" w:type="dxa"/>
            <w:vAlign w:val="center"/>
          </w:tcPr>
          <w:p>
            <w:pPr>
              <w:spacing w:line="282" w:lineRule="auto"/>
              <w:jc w:val="center"/>
              <w:rPr>
                <w:rFonts w:hint="eastAsia" w:ascii="仿宋" w:hAnsi="仿宋" w:eastAsia="仿宋" w:cs="仿宋"/>
                <w:sz w:val="21"/>
                <w:szCs w:val="21"/>
              </w:rPr>
            </w:pPr>
          </w:p>
          <w:p>
            <w:pPr>
              <w:spacing w:line="282" w:lineRule="auto"/>
              <w:jc w:val="center"/>
              <w:rPr>
                <w:rFonts w:hint="eastAsia" w:ascii="仿宋" w:hAnsi="仿宋" w:eastAsia="仿宋" w:cs="仿宋"/>
                <w:sz w:val="21"/>
                <w:szCs w:val="21"/>
              </w:rPr>
            </w:pPr>
          </w:p>
          <w:p>
            <w:pPr>
              <w:pStyle w:val="16"/>
              <w:spacing w:before="78" w:line="223" w:lineRule="auto"/>
              <w:ind w:left="54" w:leftChars="0" w:right="30" w:rightChars="0" w:firstLine="4" w:firstLineChars="0"/>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rPr>
              <w:t>包容观察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47" w:hRule="atLeast"/>
        </w:trPr>
        <w:tc>
          <w:tcPr>
            <w:tcW w:w="923" w:type="dxa"/>
            <w:vAlign w:val="center"/>
          </w:tcPr>
          <w:p>
            <w:pPr>
              <w:pStyle w:val="16"/>
              <w:spacing w:before="78" w:line="179" w:lineRule="auto"/>
              <w:ind w:left="416" w:leftChars="0"/>
              <w:jc w:val="both"/>
              <w:rPr>
                <w:rFonts w:hint="default" w:ascii="仿宋" w:hAnsi="仿宋" w:eastAsia="仿宋" w:cs="仿宋"/>
                <w:snapToGrid w:val="0"/>
                <w:color w:val="000000"/>
                <w:kern w:val="0"/>
                <w:sz w:val="21"/>
                <w:szCs w:val="21"/>
                <w:lang w:val="en-US" w:eastAsia="zh-CN" w:bidi="ar-SA"/>
              </w:rPr>
            </w:pPr>
            <w:r>
              <w:rPr>
                <w:rFonts w:hint="eastAsia" w:cs="仿宋"/>
                <w:snapToGrid w:val="0"/>
                <w:color w:val="000000"/>
                <w:kern w:val="0"/>
                <w:sz w:val="21"/>
                <w:szCs w:val="21"/>
                <w:lang w:val="en-US" w:eastAsia="zh-CN" w:bidi="ar-SA"/>
              </w:rPr>
              <w:t>6</w:t>
            </w:r>
          </w:p>
        </w:tc>
        <w:tc>
          <w:tcPr>
            <w:tcW w:w="1798" w:type="dxa"/>
            <w:vAlign w:val="center"/>
          </w:tcPr>
          <w:p>
            <w:pPr>
              <w:pStyle w:val="16"/>
              <w:spacing w:before="78" w:line="221" w:lineRule="auto"/>
              <w:ind w:left="197" w:leftChars="0"/>
              <w:jc w:val="both"/>
              <w:rPr>
                <w:rFonts w:hint="eastAsia" w:ascii="仿宋" w:hAnsi="仿宋" w:eastAsia="仿宋" w:cs="仿宋"/>
                <w:spacing w:val="-4"/>
                <w:sz w:val="21"/>
                <w:szCs w:val="21"/>
              </w:rPr>
            </w:pPr>
            <w:r>
              <w:rPr>
                <w:rFonts w:hint="eastAsia" w:ascii="仿宋" w:hAnsi="仿宋" w:eastAsia="仿宋" w:cs="仿宋"/>
                <w:spacing w:val="-4"/>
                <w:sz w:val="21"/>
                <w:szCs w:val="21"/>
              </w:rPr>
              <w:t>不予行政处罚</w:t>
            </w:r>
          </w:p>
        </w:tc>
        <w:tc>
          <w:tcPr>
            <w:tcW w:w="2651" w:type="dxa"/>
            <w:vAlign w:val="center"/>
          </w:tcPr>
          <w:p>
            <w:pPr>
              <w:jc w:val="center"/>
              <w:rPr>
                <w:rFonts w:hint="eastAsia" w:ascii="仿宋" w:hAnsi="仿宋" w:eastAsia="仿宋" w:cs="仿宋"/>
                <w:snapToGrid w:val="0"/>
                <w:color w:val="000000"/>
                <w:kern w:val="2"/>
                <w:sz w:val="21"/>
                <w:szCs w:val="21"/>
                <w:vertAlign w:val="baseline"/>
                <w:lang w:val="en-US" w:eastAsia="zh-CN" w:bidi="ar-SA"/>
              </w:rPr>
            </w:pPr>
            <w:r>
              <w:rPr>
                <w:rFonts w:hint="eastAsia" w:ascii="仿宋" w:hAnsi="仿宋" w:eastAsia="仿宋" w:cs="仿宋"/>
                <w:sz w:val="21"/>
                <w:szCs w:val="21"/>
              </w:rPr>
              <w:t>对种子生产经营者未按规定建立和保存种子生产经营档案</w:t>
            </w:r>
          </w:p>
        </w:tc>
        <w:tc>
          <w:tcPr>
            <w:tcW w:w="2623" w:type="dxa"/>
            <w:vAlign w:val="center"/>
          </w:tcPr>
          <w:p>
            <w:pPr>
              <w:jc w:val="center"/>
              <w:rPr>
                <w:rFonts w:hint="eastAsia" w:ascii="仿宋" w:hAnsi="仿宋" w:eastAsia="仿宋" w:cs="仿宋"/>
                <w:snapToGrid w:val="0"/>
                <w:color w:val="000000"/>
                <w:kern w:val="2"/>
                <w:sz w:val="21"/>
                <w:szCs w:val="21"/>
                <w:vertAlign w:val="baseline"/>
                <w:lang w:val="en-US" w:eastAsia="zh-CN" w:bidi="ar-SA"/>
              </w:rPr>
            </w:pPr>
            <w:r>
              <w:rPr>
                <w:rFonts w:hint="eastAsia" w:ascii="仿宋" w:hAnsi="仿宋" w:eastAsia="仿宋" w:cs="仿宋"/>
                <w:sz w:val="21"/>
                <w:szCs w:val="21"/>
              </w:rPr>
              <w:t>初次违法，自行改正或在责令改正期限内改正，记录项目不全，但票据齐全、不影响追溯，危害后果轻微。当事人经批评教育后，能充分认识到自己的错误，并承诺不再发生类似违法行为的。</w:t>
            </w:r>
          </w:p>
        </w:tc>
        <w:tc>
          <w:tcPr>
            <w:tcW w:w="3726"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1.《中华人民共和国种子法》第八十条 违反本法第三十六条、第三十八条、第四十条、第四十一条规定，有下列行为之一的，由县级以上人民政府农业、林业主管部门责令改正，处二千元以上二万元以下罚款：(四)未按规定建立、保存种子生产经营档案的。</w:t>
            </w:r>
          </w:p>
          <w:p>
            <w:pPr>
              <w:jc w:val="both"/>
              <w:rPr>
                <w:rFonts w:hint="eastAsia" w:ascii="仿宋" w:hAnsi="仿宋" w:eastAsia="仿宋" w:cs="仿宋"/>
                <w:snapToGrid w:val="0"/>
                <w:color w:val="000000"/>
                <w:kern w:val="2"/>
                <w:sz w:val="21"/>
                <w:szCs w:val="21"/>
                <w:vertAlign w:val="baseline"/>
                <w:lang w:val="en-US" w:eastAsia="zh-CN" w:bidi="ar-SA"/>
              </w:rPr>
            </w:pPr>
            <w:r>
              <w:rPr>
                <w:rFonts w:hint="eastAsia" w:ascii="仿宋" w:hAnsi="仿宋" w:eastAsia="仿宋" w:cs="仿宋"/>
                <w:sz w:val="21"/>
                <w:szCs w:val="21"/>
                <w:lang w:val="en-US" w:eastAsia="zh-CN"/>
              </w:rPr>
              <w:t>2.</w:t>
            </w:r>
            <w:r>
              <w:rPr>
                <w:rFonts w:hint="eastAsia" w:ascii="仿宋" w:hAnsi="仿宋" w:eastAsia="仿宋" w:cs="仿宋"/>
                <w:sz w:val="21"/>
                <w:szCs w:val="21"/>
              </w:rPr>
              <w:t>《行政处罚法》第三十三条。</w:t>
            </w:r>
          </w:p>
        </w:tc>
        <w:tc>
          <w:tcPr>
            <w:tcW w:w="2623" w:type="dxa"/>
            <w:vAlign w:val="center"/>
          </w:tcPr>
          <w:p>
            <w:pPr>
              <w:jc w:val="center"/>
              <w:rPr>
                <w:rFonts w:hint="eastAsia" w:ascii="仿宋" w:hAnsi="仿宋" w:eastAsia="仿宋" w:cs="仿宋"/>
                <w:snapToGrid w:val="0"/>
                <w:color w:val="000000"/>
                <w:kern w:val="2"/>
                <w:sz w:val="21"/>
                <w:szCs w:val="21"/>
                <w:vertAlign w:val="baseline"/>
                <w:lang w:val="en-US" w:eastAsia="zh-CN" w:bidi="ar-SA"/>
              </w:rPr>
            </w:pPr>
            <w:r>
              <w:rPr>
                <w:rFonts w:hint="eastAsia" w:ascii="仿宋" w:hAnsi="仿宋" w:eastAsia="仿宋" w:cs="仿宋"/>
                <w:sz w:val="21"/>
                <w:szCs w:val="21"/>
              </w:rPr>
              <w:t>包容观察</w:t>
            </w:r>
          </w:p>
        </w:tc>
      </w:tr>
    </w:tbl>
    <w:p>
      <w:pPr>
        <w:jc w:val="center"/>
        <w:rPr>
          <w:rFonts w:hint="eastAsia" w:ascii="仿宋" w:hAnsi="仿宋" w:eastAsia="仿宋" w:cs="仿宋"/>
          <w:sz w:val="21"/>
          <w:szCs w:val="21"/>
        </w:rPr>
      </w:pPr>
    </w:p>
    <w:p>
      <w:pPr>
        <w:jc w:val="center"/>
        <w:rPr>
          <w:rFonts w:hint="eastAsia" w:ascii="仿宋" w:hAnsi="仿宋" w:eastAsia="仿宋" w:cs="仿宋"/>
          <w:sz w:val="21"/>
          <w:szCs w:val="21"/>
        </w:rPr>
        <w:sectPr>
          <w:footerReference r:id="rId6" w:type="default"/>
          <w:pgSz w:w="16840" w:h="11900"/>
          <w:pgMar w:top="1011" w:right="1250" w:bottom="1027" w:left="1230" w:header="0" w:footer="684" w:gutter="0"/>
          <w:cols w:space="720" w:num="1"/>
        </w:sectPr>
      </w:pPr>
    </w:p>
    <w:p>
      <w:pPr>
        <w:spacing w:before="177"/>
        <w:jc w:val="center"/>
        <w:rPr>
          <w:rFonts w:hint="eastAsia" w:ascii="仿宋" w:hAnsi="仿宋" w:eastAsia="仿宋" w:cs="仿宋"/>
          <w:sz w:val="21"/>
          <w:szCs w:val="21"/>
        </w:rPr>
      </w:pPr>
    </w:p>
    <w:tbl>
      <w:tblPr>
        <w:tblStyle w:val="15"/>
        <w:tblW w:w="1434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23"/>
        <w:gridCol w:w="1798"/>
        <w:gridCol w:w="2175"/>
        <w:gridCol w:w="3099"/>
        <w:gridCol w:w="4446"/>
        <w:gridCol w:w="19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923" w:type="dxa"/>
            <w:vAlign w:val="top"/>
          </w:tcPr>
          <w:p>
            <w:pPr>
              <w:pStyle w:val="16"/>
              <w:spacing w:before="192" w:line="222" w:lineRule="auto"/>
              <w:ind w:left="200"/>
              <w:jc w:val="center"/>
              <w:rPr>
                <w:rFonts w:hint="eastAsia" w:ascii="仿宋" w:hAnsi="仿宋" w:eastAsia="仿宋" w:cs="仿宋"/>
                <w:sz w:val="21"/>
                <w:szCs w:val="21"/>
              </w:rPr>
            </w:pPr>
            <w:r>
              <w:rPr>
                <w:rFonts w:hint="eastAsia" w:ascii="仿宋" w:hAnsi="仿宋" w:eastAsia="仿宋" w:cs="仿宋"/>
                <w:spacing w:val="-9"/>
                <w:sz w:val="21"/>
                <w:szCs w:val="21"/>
                <w14:textOutline w14:w="5085" w14:cap="sq" w14:cmpd="sng">
                  <w14:solidFill>
                    <w14:srgbClr w14:val="000000"/>
                  </w14:solidFill>
                  <w14:prstDash w14:val="solid"/>
                  <w14:bevel/>
                </w14:textOutline>
              </w:rPr>
              <w:t>序号</w:t>
            </w:r>
          </w:p>
        </w:tc>
        <w:tc>
          <w:tcPr>
            <w:tcW w:w="1798" w:type="dxa"/>
            <w:vAlign w:val="top"/>
          </w:tcPr>
          <w:p>
            <w:pPr>
              <w:pStyle w:val="16"/>
              <w:spacing w:before="192" w:line="223" w:lineRule="auto"/>
              <w:ind w:left="83"/>
              <w:jc w:val="center"/>
              <w:rPr>
                <w:rFonts w:hint="eastAsia" w:ascii="仿宋" w:hAnsi="仿宋" w:eastAsia="仿宋" w:cs="仿宋"/>
                <w:sz w:val="21"/>
                <w:szCs w:val="21"/>
              </w:rPr>
            </w:pPr>
            <w:r>
              <w:rPr>
                <w:rFonts w:hint="eastAsia" w:ascii="仿宋" w:hAnsi="仿宋" w:eastAsia="仿宋" w:cs="仿宋"/>
                <w:spacing w:val="-5"/>
                <w:sz w:val="21"/>
                <w:szCs w:val="21"/>
                <w14:textOutline w14:w="5085" w14:cap="sq" w14:cmpd="sng">
                  <w14:solidFill>
                    <w14:srgbClr w14:val="000000"/>
                  </w14:solidFill>
                  <w14:prstDash w14:val="solid"/>
                  <w14:bevel/>
                </w14:textOutline>
              </w:rPr>
              <w:t>包容处罚类型</w:t>
            </w:r>
          </w:p>
        </w:tc>
        <w:tc>
          <w:tcPr>
            <w:tcW w:w="2175" w:type="dxa"/>
            <w:vAlign w:val="top"/>
          </w:tcPr>
          <w:p>
            <w:pPr>
              <w:pStyle w:val="16"/>
              <w:spacing w:before="191" w:line="221" w:lineRule="auto"/>
              <w:ind w:left="784"/>
              <w:jc w:val="center"/>
              <w:rPr>
                <w:rFonts w:hint="eastAsia" w:ascii="仿宋" w:hAnsi="仿宋" w:eastAsia="仿宋" w:cs="仿宋"/>
                <w:sz w:val="21"/>
                <w:szCs w:val="21"/>
              </w:rPr>
            </w:pPr>
            <w:r>
              <w:rPr>
                <w:rFonts w:hint="eastAsia" w:ascii="仿宋" w:hAnsi="仿宋" w:eastAsia="仿宋" w:cs="仿宋"/>
                <w:spacing w:val="-5"/>
                <w:sz w:val="21"/>
                <w:szCs w:val="21"/>
                <w14:textOutline w14:w="5085" w14:cap="sq" w14:cmpd="sng">
                  <w14:solidFill>
                    <w14:srgbClr w14:val="000000"/>
                  </w14:solidFill>
                  <w14:prstDash w14:val="solid"/>
                  <w14:bevel/>
                </w14:textOutline>
              </w:rPr>
              <w:t>违法行为</w:t>
            </w:r>
          </w:p>
        </w:tc>
        <w:tc>
          <w:tcPr>
            <w:tcW w:w="3099" w:type="dxa"/>
            <w:vAlign w:val="top"/>
          </w:tcPr>
          <w:p>
            <w:pPr>
              <w:pStyle w:val="16"/>
              <w:spacing w:before="192" w:line="222" w:lineRule="auto"/>
              <w:ind w:left="774"/>
              <w:jc w:val="center"/>
              <w:rPr>
                <w:rFonts w:hint="eastAsia" w:ascii="仿宋" w:hAnsi="仿宋" w:eastAsia="仿宋" w:cs="仿宋"/>
                <w:sz w:val="21"/>
                <w:szCs w:val="21"/>
              </w:rPr>
            </w:pPr>
            <w:r>
              <w:rPr>
                <w:rFonts w:hint="eastAsia" w:ascii="仿宋" w:hAnsi="仿宋" w:eastAsia="仿宋" w:cs="仿宋"/>
                <w:spacing w:val="-5"/>
                <w:sz w:val="21"/>
                <w:szCs w:val="21"/>
                <w14:textOutline w14:w="5085" w14:cap="sq" w14:cmpd="sng">
                  <w14:solidFill>
                    <w14:srgbClr w14:val="000000"/>
                  </w14:solidFill>
                  <w14:prstDash w14:val="solid"/>
                  <w14:bevel/>
                </w14:textOutline>
              </w:rPr>
              <w:t>具体情形</w:t>
            </w:r>
          </w:p>
        </w:tc>
        <w:tc>
          <w:tcPr>
            <w:tcW w:w="4446" w:type="dxa"/>
            <w:vAlign w:val="top"/>
          </w:tcPr>
          <w:p>
            <w:pPr>
              <w:pStyle w:val="16"/>
              <w:spacing w:before="192" w:line="223" w:lineRule="auto"/>
              <w:ind w:firstLine="1960" w:firstLineChars="1000"/>
              <w:jc w:val="both"/>
              <w:rPr>
                <w:rFonts w:hint="eastAsia" w:ascii="仿宋" w:hAnsi="仿宋" w:eastAsia="仿宋" w:cs="仿宋"/>
                <w:sz w:val="21"/>
                <w:szCs w:val="21"/>
              </w:rPr>
            </w:pPr>
            <w:r>
              <w:rPr>
                <w:rFonts w:hint="eastAsia" w:ascii="仿宋" w:hAnsi="仿宋" w:eastAsia="仿宋" w:cs="仿宋"/>
                <w:spacing w:val="-7"/>
                <w:sz w:val="21"/>
                <w:szCs w:val="21"/>
                <w14:textOutline w14:w="5085" w14:cap="sq" w14:cmpd="sng">
                  <w14:solidFill>
                    <w14:srgbClr w14:val="000000"/>
                  </w14:solidFill>
                  <w14:prstDash w14:val="solid"/>
                  <w14:bevel/>
                </w14:textOutline>
              </w:rPr>
              <w:t>法定依据</w:t>
            </w:r>
          </w:p>
        </w:tc>
        <w:tc>
          <w:tcPr>
            <w:tcW w:w="1903" w:type="dxa"/>
            <w:vAlign w:val="top"/>
          </w:tcPr>
          <w:p>
            <w:pPr>
              <w:pStyle w:val="16"/>
              <w:spacing w:before="191" w:line="221" w:lineRule="auto"/>
              <w:ind w:left="302"/>
              <w:jc w:val="both"/>
              <w:rPr>
                <w:rFonts w:hint="eastAsia" w:ascii="仿宋" w:hAnsi="仿宋" w:eastAsia="仿宋" w:cs="仿宋"/>
                <w:sz w:val="21"/>
                <w:szCs w:val="21"/>
              </w:rPr>
            </w:pPr>
            <w:r>
              <w:rPr>
                <w:rFonts w:hint="eastAsia" w:ascii="仿宋" w:hAnsi="仿宋" w:eastAsia="仿宋" w:cs="仿宋"/>
                <w:b/>
                <w:bCs/>
                <w:sz w:val="21"/>
                <w:szCs w:val="21"/>
              </w:rPr>
              <w:t>配套监管措施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8" w:hRule="atLeast"/>
        </w:trPr>
        <w:tc>
          <w:tcPr>
            <w:tcW w:w="923" w:type="dxa"/>
            <w:vAlign w:val="top"/>
          </w:tcPr>
          <w:p>
            <w:pPr>
              <w:spacing w:line="311" w:lineRule="auto"/>
              <w:jc w:val="center"/>
              <w:rPr>
                <w:rFonts w:hint="eastAsia" w:ascii="仿宋" w:hAnsi="仿宋" w:eastAsia="仿宋" w:cs="仿宋"/>
                <w:sz w:val="21"/>
                <w:szCs w:val="21"/>
              </w:rPr>
            </w:pPr>
          </w:p>
          <w:p>
            <w:pPr>
              <w:spacing w:line="311" w:lineRule="auto"/>
              <w:jc w:val="both"/>
              <w:rPr>
                <w:rFonts w:hint="eastAsia" w:ascii="仿宋" w:hAnsi="仿宋" w:eastAsia="仿宋" w:cs="仿宋"/>
                <w:sz w:val="21"/>
                <w:szCs w:val="21"/>
              </w:rPr>
            </w:pPr>
          </w:p>
          <w:p>
            <w:pPr>
              <w:pStyle w:val="16"/>
              <w:spacing w:before="78" w:line="180" w:lineRule="auto"/>
              <w:ind w:left="411" w:leftChars="0"/>
              <w:jc w:val="both"/>
              <w:rPr>
                <w:rFonts w:hint="eastAsia" w:ascii="仿宋" w:hAnsi="仿宋" w:eastAsia="仿宋" w:cs="仿宋"/>
                <w:snapToGrid w:val="0"/>
                <w:color w:val="000000"/>
                <w:kern w:val="0"/>
                <w:sz w:val="21"/>
                <w:szCs w:val="21"/>
                <w:lang w:val="en-US" w:eastAsia="zh-CN" w:bidi="ar-SA"/>
              </w:rPr>
            </w:pPr>
            <w:r>
              <w:rPr>
                <w:rFonts w:hint="eastAsia" w:cs="仿宋"/>
                <w:snapToGrid w:val="0"/>
                <w:color w:val="000000"/>
                <w:kern w:val="0"/>
                <w:sz w:val="21"/>
                <w:szCs w:val="21"/>
                <w:lang w:val="en-US" w:eastAsia="zh-CN" w:bidi="ar-SA"/>
              </w:rPr>
              <w:t>7</w:t>
            </w:r>
          </w:p>
        </w:tc>
        <w:tc>
          <w:tcPr>
            <w:tcW w:w="1798" w:type="dxa"/>
            <w:vAlign w:val="top"/>
          </w:tcPr>
          <w:p>
            <w:pPr>
              <w:spacing w:line="297" w:lineRule="auto"/>
              <w:jc w:val="center"/>
              <w:rPr>
                <w:rFonts w:hint="eastAsia" w:ascii="仿宋" w:hAnsi="仿宋" w:eastAsia="仿宋" w:cs="仿宋"/>
                <w:sz w:val="21"/>
                <w:szCs w:val="21"/>
              </w:rPr>
            </w:pPr>
          </w:p>
          <w:p>
            <w:pPr>
              <w:spacing w:line="297" w:lineRule="auto"/>
              <w:jc w:val="both"/>
              <w:rPr>
                <w:rFonts w:hint="eastAsia" w:ascii="仿宋" w:hAnsi="仿宋" w:eastAsia="仿宋" w:cs="仿宋"/>
                <w:sz w:val="21"/>
                <w:szCs w:val="21"/>
              </w:rPr>
            </w:pPr>
          </w:p>
          <w:p>
            <w:pPr>
              <w:pStyle w:val="16"/>
              <w:spacing w:before="78" w:line="221" w:lineRule="auto"/>
              <w:ind w:firstLine="202" w:firstLineChars="100"/>
              <w:jc w:val="both"/>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pacing w:val="-4"/>
                <w:sz w:val="21"/>
                <w:szCs w:val="21"/>
              </w:rPr>
              <w:t>不予行政处罚</w:t>
            </w:r>
          </w:p>
        </w:tc>
        <w:tc>
          <w:tcPr>
            <w:tcW w:w="2175" w:type="dxa"/>
            <w:vAlign w:val="top"/>
          </w:tcPr>
          <w:p>
            <w:pPr>
              <w:spacing w:line="301" w:lineRule="auto"/>
              <w:jc w:val="center"/>
              <w:rPr>
                <w:rFonts w:hint="eastAsia" w:ascii="仿宋" w:hAnsi="仿宋" w:eastAsia="仿宋" w:cs="仿宋"/>
                <w:sz w:val="21"/>
                <w:szCs w:val="21"/>
              </w:rPr>
            </w:pPr>
          </w:p>
          <w:p>
            <w:pPr>
              <w:pStyle w:val="16"/>
              <w:spacing w:before="78" w:line="224" w:lineRule="auto"/>
              <w:ind w:right="207" w:rightChars="0"/>
              <w:jc w:val="both"/>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pacing w:val="-2"/>
                <w:sz w:val="21"/>
                <w:szCs w:val="21"/>
              </w:rPr>
              <w:t>未按规定建立和保存食用林产品生产记录</w:t>
            </w:r>
          </w:p>
        </w:tc>
        <w:tc>
          <w:tcPr>
            <w:tcW w:w="3099" w:type="dxa"/>
            <w:vAlign w:val="top"/>
          </w:tcPr>
          <w:p>
            <w:pPr>
              <w:pStyle w:val="16"/>
              <w:spacing w:before="102" w:line="224" w:lineRule="auto"/>
              <w:ind w:left="44" w:leftChars="0" w:right="178" w:rightChars="0"/>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pacing w:val="-2"/>
                <w:sz w:val="21"/>
                <w:szCs w:val="21"/>
              </w:rPr>
              <w:t>食用林产品生产企业和农民专业合作经济组织</w:t>
            </w:r>
            <w:r>
              <w:rPr>
                <w:rFonts w:hint="eastAsia" w:ascii="仿宋" w:hAnsi="仿宋" w:eastAsia="仿宋" w:cs="仿宋"/>
                <w:spacing w:val="3"/>
                <w:sz w:val="21"/>
                <w:szCs w:val="21"/>
              </w:rPr>
              <w:t xml:space="preserve"> </w:t>
            </w:r>
            <w:r>
              <w:rPr>
                <w:rFonts w:hint="eastAsia" w:ascii="仿宋" w:hAnsi="仿宋" w:eastAsia="仿宋" w:cs="仿宋"/>
                <w:spacing w:val="-2"/>
                <w:sz w:val="21"/>
                <w:szCs w:val="21"/>
              </w:rPr>
              <w:t>未按规定建立和保存生产记录，林产品生产、加工企业和农民专业合作经济组织出售的林产品未按规定包装、标识</w:t>
            </w:r>
          </w:p>
        </w:tc>
        <w:tc>
          <w:tcPr>
            <w:tcW w:w="4446" w:type="dxa"/>
            <w:vAlign w:val="top"/>
          </w:tcPr>
          <w:p>
            <w:pPr>
              <w:pStyle w:val="16"/>
              <w:spacing w:before="78" w:line="222" w:lineRule="auto"/>
              <w:ind w:right="231"/>
              <w:jc w:val="both"/>
              <w:rPr>
                <w:rFonts w:hint="eastAsia" w:ascii="仿宋" w:hAnsi="仿宋" w:eastAsia="仿宋" w:cs="仿宋"/>
                <w:spacing w:val="-2"/>
                <w:sz w:val="21"/>
                <w:szCs w:val="21"/>
              </w:rPr>
            </w:pPr>
          </w:p>
          <w:p>
            <w:pPr>
              <w:pStyle w:val="16"/>
              <w:spacing w:before="78" w:line="222" w:lineRule="auto"/>
              <w:ind w:right="231"/>
              <w:jc w:val="both"/>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pacing w:val="-2"/>
                <w:sz w:val="21"/>
                <w:szCs w:val="21"/>
              </w:rPr>
              <w:t>《湖南省林业行政处罚裁量权基准》</w:t>
            </w:r>
            <w:r>
              <w:rPr>
                <w:rFonts w:hint="eastAsia" w:ascii="仿宋" w:hAnsi="仿宋" w:eastAsia="仿宋" w:cs="仿宋"/>
                <w:spacing w:val="1"/>
                <w:sz w:val="21"/>
                <w:szCs w:val="21"/>
              </w:rPr>
              <w:t xml:space="preserve"> </w:t>
            </w:r>
            <w:r>
              <w:rPr>
                <w:rFonts w:hint="eastAsia" w:ascii="仿宋" w:hAnsi="仿宋" w:eastAsia="仿宋" w:cs="仿宋"/>
                <w:spacing w:val="-2"/>
                <w:sz w:val="21"/>
                <w:szCs w:val="21"/>
              </w:rPr>
              <w:t>第一百三十条：建立生产记录不完善，限期内整改到位，登记其违规行</w:t>
            </w:r>
            <w:r>
              <w:rPr>
                <w:rFonts w:hint="eastAsia" w:ascii="仿宋" w:hAnsi="仿宋" w:eastAsia="仿宋" w:cs="仿宋"/>
                <w:spacing w:val="-3"/>
                <w:sz w:val="21"/>
                <w:szCs w:val="21"/>
              </w:rPr>
              <w:t>为，不予罚款处罚。</w:t>
            </w:r>
          </w:p>
        </w:tc>
        <w:tc>
          <w:tcPr>
            <w:tcW w:w="1903" w:type="dxa"/>
            <w:vAlign w:val="top"/>
          </w:tcPr>
          <w:p>
            <w:pPr>
              <w:spacing w:line="248" w:lineRule="auto"/>
              <w:jc w:val="center"/>
              <w:rPr>
                <w:rFonts w:hint="eastAsia" w:ascii="仿宋" w:hAnsi="仿宋" w:eastAsia="仿宋" w:cs="仿宋"/>
                <w:sz w:val="21"/>
                <w:szCs w:val="21"/>
              </w:rPr>
            </w:pPr>
          </w:p>
          <w:p>
            <w:pPr>
              <w:spacing w:line="249" w:lineRule="auto"/>
              <w:jc w:val="center"/>
              <w:rPr>
                <w:rFonts w:hint="eastAsia" w:ascii="仿宋" w:hAnsi="仿宋" w:eastAsia="仿宋" w:cs="仿宋"/>
                <w:sz w:val="21"/>
                <w:szCs w:val="21"/>
              </w:rPr>
            </w:pPr>
          </w:p>
          <w:p>
            <w:pPr>
              <w:pStyle w:val="16"/>
              <w:spacing w:before="78" w:line="223" w:lineRule="auto"/>
              <w:ind w:right="30" w:rightChars="0" w:firstLine="420" w:firstLineChars="200"/>
              <w:jc w:val="both"/>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rPr>
              <w:t>包容观察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94" w:hRule="atLeast"/>
        </w:trPr>
        <w:tc>
          <w:tcPr>
            <w:tcW w:w="923" w:type="dxa"/>
            <w:vAlign w:val="top"/>
          </w:tcPr>
          <w:p>
            <w:pPr>
              <w:spacing w:line="241" w:lineRule="auto"/>
              <w:jc w:val="center"/>
              <w:rPr>
                <w:rFonts w:hint="eastAsia" w:ascii="仿宋" w:hAnsi="仿宋" w:eastAsia="仿宋" w:cs="仿宋"/>
                <w:sz w:val="21"/>
                <w:szCs w:val="21"/>
              </w:rPr>
            </w:pPr>
          </w:p>
          <w:p>
            <w:pPr>
              <w:spacing w:line="242" w:lineRule="auto"/>
              <w:jc w:val="both"/>
              <w:rPr>
                <w:rFonts w:hint="eastAsia" w:ascii="仿宋" w:hAnsi="仿宋" w:eastAsia="仿宋" w:cs="仿宋"/>
                <w:sz w:val="21"/>
                <w:szCs w:val="21"/>
              </w:rPr>
            </w:pPr>
          </w:p>
          <w:p>
            <w:pPr>
              <w:pStyle w:val="16"/>
              <w:spacing w:before="78" w:line="180" w:lineRule="auto"/>
              <w:ind w:left="411" w:leftChars="0"/>
              <w:jc w:val="center"/>
              <w:rPr>
                <w:rFonts w:hint="eastAsia" w:ascii="仿宋" w:hAnsi="仿宋" w:eastAsia="仿宋" w:cs="仿宋"/>
                <w:sz w:val="21"/>
                <w:szCs w:val="21"/>
              </w:rPr>
            </w:pPr>
          </w:p>
          <w:p>
            <w:pPr>
              <w:pStyle w:val="16"/>
              <w:spacing w:before="78" w:line="180" w:lineRule="auto"/>
              <w:ind w:left="411" w:leftChars="0"/>
              <w:jc w:val="both"/>
              <w:rPr>
                <w:rFonts w:hint="eastAsia" w:ascii="仿宋" w:hAnsi="仿宋" w:eastAsia="仿宋" w:cs="仿宋"/>
                <w:snapToGrid w:val="0"/>
                <w:color w:val="000000"/>
                <w:kern w:val="0"/>
                <w:sz w:val="21"/>
                <w:szCs w:val="21"/>
                <w:lang w:val="en-US" w:eastAsia="zh-CN" w:bidi="ar-SA"/>
              </w:rPr>
            </w:pPr>
            <w:r>
              <w:rPr>
                <w:rFonts w:hint="eastAsia" w:cs="仿宋"/>
                <w:snapToGrid w:val="0"/>
                <w:color w:val="000000"/>
                <w:kern w:val="0"/>
                <w:sz w:val="21"/>
                <w:szCs w:val="21"/>
                <w:lang w:val="en-US" w:eastAsia="zh-CN" w:bidi="ar-SA"/>
              </w:rPr>
              <w:t>8</w:t>
            </w:r>
          </w:p>
        </w:tc>
        <w:tc>
          <w:tcPr>
            <w:tcW w:w="1798" w:type="dxa"/>
            <w:vAlign w:val="top"/>
          </w:tcPr>
          <w:p>
            <w:pPr>
              <w:spacing w:line="291" w:lineRule="auto"/>
              <w:jc w:val="center"/>
              <w:rPr>
                <w:rFonts w:hint="eastAsia" w:ascii="仿宋" w:hAnsi="仿宋" w:eastAsia="仿宋" w:cs="仿宋"/>
                <w:sz w:val="21"/>
                <w:szCs w:val="21"/>
              </w:rPr>
            </w:pPr>
          </w:p>
          <w:p>
            <w:pPr>
              <w:spacing w:line="292" w:lineRule="auto"/>
              <w:jc w:val="both"/>
              <w:rPr>
                <w:rFonts w:hint="eastAsia" w:ascii="仿宋" w:hAnsi="仿宋" w:eastAsia="仿宋" w:cs="仿宋"/>
                <w:sz w:val="21"/>
                <w:szCs w:val="21"/>
              </w:rPr>
            </w:pPr>
          </w:p>
          <w:p>
            <w:pPr>
              <w:pStyle w:val="16"/>
              <w:spacing w:before="78" w:line="221" w:lineRule="auto"/>
              <w:ind w:left="197" w:leftChars="0"/>
              <w:jc w:val="both"/>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pacing w:val="-4"/>
                <w:sz w:val="21"/>
                <w:szCs w:val="21"/>
              </w:rPr>
              <w:t>不予行政处罚</w:t>
            </w:r>
          </w:p>
        </w:tc>
        <w:tc>
          <w:tcPr>
            <w:tcW w:w="2175" w:type="dxa"/>
            <w:vAlign w:val="top"/>
          </w:tcPr>
          <w:p>
            <w:pPr>
              <w:spacing w:line="255" w:lineRule="auto"/>
              <w:jc w:val="both"/>
              <w:rPr>
                <w:rFonts w:hint="eastAsia" w:ascii="仿宋" w:hAnsi="仿宋" w:eastAsia="仿宋" w:cs="仿宋"/>
                <w:sz w:val="21"/>
                <w:szCs w:val="21"/>
              </w:rPr>
            </w:pPr>
          </w:p>
          <w:p>
            <w:pPr>
              <w:spacing w:line="256" w:lineRule="auto"/>
              <w:jc w:val="center"/>
              <w:rPr>
                <w:rFonts w:hint="eastAsia" w:ascii="仿宋" w:hAnsi="仿宋" w:eastAsia="仿宋" w:cs="仿宋"/>
                <w:sz w:val="21"/>
                <w:szCs w:val="21"/>
              </w:rPr>
            </w:pPr>
          </w:p>
          <w:p>
            <w:pPr>
              <w:pStyle w:val="16"/>
              <w:spacing w:before="78" w:line="223" w:lineRule="auto"/>
              <w:ind w:left="44" w:leftChars="0" w:right="207" w:rightChars="0" w:firstLine="1" w:firstLineChars="0"/>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pacing w:val="-2"/>
                <w:sz w:val="21"/>
                <w:szCs w:val="21"/>
              </w:rPr>
              <w:t>未按规定包装、标识食</w:t>
            </w:r>
            <w:r>
              <w:rPr>
                <w:rFonts w:hint="eastAsia" w:ascii="仿宋" w:hAnsi="仿宋" w:eastAsia="仿宋" w:cs="仿宋"/>
                <w:spacing w:val="-3"/>
                <w:sz w:val="21"/>
                <w:szCs w:val="21"/>
              </w:rPr>
              <w:t>用林产品</w:t>
            </w:r>
          </w:p>
        </w:tc>
        <w:tc>
          <w:tcPr>
            <w:tcW w:w="3099" w:type="dxa"/>
            <w:vAlign w:val="top"/>
          </w:tcPr>
          <w:p>
            <w:pPr>
              <w:spacing w:line="299" w:lineRule="auto"/>
              <w:jc w:val="center"/>
              <w:rPr>
                <w:rFonts w:hint="eastAsia" w:ascii="仿宋" w:hAnsi="仿宋" w:eastAsia="仿宋" w:cs="仿宋"/>
                <w:sz w:val="21"/>
                <w:szCs w:val="21"/>
              </w:rPr>
            </w:pPr>
          </w:p>
          <w:p>
            <w:pPr>
              <w:pStyle w:val="16"/>
              <w:spacing w:before="78" w:line="224" w:lineRule="auto"/>
              <w:ind w:left="44" w:leftChars="0" w:right="178" w:rightChars="0"/>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pacing w:val="-2"/>
                <w:sz w:val="21"/>
                <w:szCs w:val="21"/>
              </w:rPr>
              <w:t>食用林产品生产企业和农民专业合作经济组织未按规定建立和保存生产记录，林产品生产、加工企业和农民专业合作经济组织出售的林产品未按规定包装、标识</w:t>
            </w:r>
          </w:p>
        </w:tc>
        <w:tc>
          <w:tcPr>
            <w:tcW w:w="4446" w:type="dxa"/>
            <w:vAlign w:val="top"/>
          </w:tcPr>
          <w:p>
            <w:pPr>
              <w:spacing w:line="292" w:lineRule="auto"/>
              <w:jc w:val="both"/>
              <w:rPr>
                <w:rFonts w:hint="eastAsia" w:ascii="仿宋" w:hAnsi="仿宋" w:eastAsia="仿宋" w:cs="仿宋"/>
                <w:sz w:val="21"/>
                <w:szCs w:val="21"/>
              </w:rPr>
            </w:pPr>
          </w:p>
          <w:p>
            <w:pPr>
              <w:pStyle w:val="16"/>
              <w:spacing w:before="78" w:line="224" w:lineRule="auto"/>
              <w:ind w:left="49" w:leftChars="0" w:right="217" w:rightChars="0"/>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pacing w:val="-2"/>
                <w:sz w:val="21"/>
                <w:szCs w:val="21"/>
              </w:rPr>
              <w:t>《湖南省林业行政处罚裁量权基准》</w:t>
            </w:r>
            <w:r>
              <w:rPr>
                <w:rFonts w:hint="eastAsia" w:ascii="仿宋" w:hAnsi="仿宋" w:eastAsia="仿宋" w:cs="仿宋"/>
                <w:spacing w:val="6"/>
                <w:sz w:val="21"/>
                <w:szCs w:val="21"/>
              </w:rPr>
              <w:t xml:space="preserve"> </w:t>
            </w:r>
            <w:r>
              <w:rPr>
                <w:rFonts w:hint="eastAsia" w:ascii="仿宋" w:hAnsi="仿宋" w:eastAsia="仿宋" w:cs="仿宋"/>
                <w:spacing w:val="-1"/>
                <w:sz w:val="21"/>
                <w:szCs w:val="21"/>
              </w:rPr>
              <w:t>第一百三十一条：限期内停止出售未</w:t>
            </w:r>
            <w:r>
              <w:rPr>
                <w:rFonts w:hint="eastAsia" w:ascii="仿宋" w:hAnsi="仿宋" w:eastAsia="仿宋" w:cs="仿宋"/>
                <w:sz w:val="21"/>
                <w:szCs w:val="21"/>
              </w:rPr>
              <w:t xml:space="preserve"> </w:t>
            </w:r>
            <w:r>
              <w:rPr>
                <w:rFonts w:hint="eastAsia" w:ascii="仿宋" w:hAnsi="仿宋" w:eastAsia="仿宋" w:cs="仿宋"/>
                <w:spacing w:val="-1"/>
                <w:sz w:val="21"/>
                <w:szCs w:val="21"/>
              </w:rPr>
              <w:t>按规定包装、标识林产品，按规定对林产品重新包装、标识的，登记其违</w:t>
            </w:r>
            <w:r>
              <w:rPr>
                <w:rFonts w:hint="eastAsia" w:ascii="仿宋" w:hAnsi="仿宋" w:eastAsia="仿宋" w:cs="仿宋"/>
                <w:spacing w:val="-2"/>
                <w:sz w:val="21"/>
                <w:szCs w:val="21"/>
              </w:rPr>
              <w:t>规行为，不予罚款处罚。</w:t>
            </w:r>
          </w:p>
        </w:tc>
        <w:tc>
          <w:tcPr>
            <w:tcW w:w="1903" w:type="dxa"/>
            <w:vAlign w:val="top"/>
          </w:tcPr>
          <w:p>
            <w:pPr>
              <w:spacing w:line="255" w:lineRule="auto"/>
              <w:jc w:val="center"/>
              <w:rPr>
                <w:rFonts w:hint="eastAsia" w:ascii="仿宋" w:hAnsi="仿宋" w:eastAsia="仿宋" w:cs="仿宋"/>
                <w:sz w:val="21"/>
                <w:szCs w:val="21"/>
              </w:rPr>
            </w:pPr>
          </w:p>
          <w:p>
            <w:pPr>
              <w:spacing w:line="256" w:lineRule="auto"/>
              <w:jc w:val="both"/>
              <w:rPr>
                <w:rFonts w:hint="eastAsia" w:ascii="仿宋" w:hAnsi="仿宋" w:eastAsia="仿宋" w:cs="仿宋"/>
                <w:sz w:val="21"/>
                <w:szCs w:val="21"/>
              </w:rPr>
            </w:pPr>
          </w:p>
          <w:p>
            <w:pPr>
              <w:pStyle w:val="16"/>
              <w:spacing w:before="78" w:line="223" w:lineRule="auto"/>
              <w:ind w:left="54" w:leftChars="0" w:right="30" w:rightChars="0" w:firstLine="4" w:firstLineChars="0"/>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rPr>
              <w:t>包容观察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6" w:hRule="atLeast"/>
        </w:trPr>
        <w:tc>
          <w:tcPr>
            <w:tcW w:w="923" w:type="dxa"/>
            <w:vAlign w:val="top"/>
          </w:tcPr>
          <w:p>
            <w:pPr>
              <w:pStyle w:val="16"/>
              <w:spacing w:before="78" w:line="180" w:lineRule="auto"/>
              <w:ind w:left="411" w:leftChars="0"/>
              <w:jc w:val="center"/>
              <w:rPr>
                <w:rFonts w:hint="eastAsia" w:ascii="仿宋" w:hAnsi="仿宋" w:eastAsia="仿宋" w:cs="仿宋"/>
                <w:sz w:val="21"/>
                <w:szCs w:val="21"/>
                <w:lang w:val="en-US" w:eastAsia="zh-CN"/>
              </w:rPr>
            </w:pPr>
          </w:p>
          <w:p>
            <w:pPr>
              <w:pStyle w:val="16"/>
              <w:spacing w:before="78" w:line="180" w:lineRule="auto"/>
              <w:ind w:left="411" w:leftChars="0"/>
              <w:jc w:val="center"/>
              <w:rPr>
                <w:rFonts w:hint="eastAsia" w:ascii="仿宋" w:hAnsi="仿宋" w:eastAsia="仿宋" w:cs="仿宋"/>
                <w:sz w:val="21"/>
                <w:szCs w:val="21"/>
                <w:lang w:val="en-US" w:eastAsia="zh-CN"/>
              </w:rPr>
            </w:pPr>
          </w:p>
          <w:p>
            <w:pPr>
              <w:pStyle w:val="16"/>
              <w:spacing w:before="78" w:line="180" w:lineRule="auto"/>
              <w:ind w:left="411" w:leftChars="0"/>
              <w:jc w:val="both"/>
              <w:rPr>
                <w:rFonts w:hint="default" w:ascii="仿宋" w:hAnsi="仿宋" w:eastAsia="仿宋" w:cs="仿宋"/>
                <w:sz w:val="21"/>
                <w:szCs w:val="21"/>
                <w:lang w:val="en-US" w:eastAsia="zh-CN"/>
              </w:rPr>
            </w:pPr>
            <w:r>
              <w:rPr>
                <w:rFonts w:hint="eastAsia" w:cs="仿宋"/>
                <w:sz w:val="21"/>
                <w:szCs w:val="21"/>
                <w:lang w:val="en-US" w:eastAsia="zh-CN"/>
              </w:rPr>
              <w:t>9</w:t>
            </w:r>
          </w:p>
        </w:tc>
        <w:tc>
          <w:tcPr>
            <w:tcW w:w="1798" w:type="dxa"/>
            <w:vAlign w:val="top"/>
          </w:tcPr>
          <w:p>
            <w:pPr>
              <w:pStyle w:val="16"/>
              <w:spacing w:before="78" w:line="221" w:lineRule="auto"/>
              <w:ind w:left="197" w:leftChars="0"/>
              <w:jc w:val="center"/>
              <w:rPr>
                <w:rFonts w:hint="eastAsia" w:ascii="仿宋" w:hAnsi="仿宋" w:eastAsia="仿宋" w:cs="仿宋"/>
                <w:spacing w:val="-4"/>
                <w:sz w:val="21"/>
                <w:szCs w:val="21"/>
              </w:rPr>
            </w:pPr>
          </w:p>
          <w:p>
            <w:pPr>
              <w:pStyle w:val="16"/>
              <w:spacing w:before="78" w:line="221" w:lineRule="auto"/>
              <w:ind w:left="197" w:leftChars="0"/>
              <w:jc w:val="center"/>
              <w:rPr>
                <w:rFonts w:hint="eastAsia" w:ascii="仿宋" w:hAnsi="仿宋" w:eastAsia="仿宋" w:cs="仿宋"/>
                <w:spacing w:val="-4"/>
                <w:sz w:val="21"/>
                <w:szCs w:val="21"/>
              </w:rPr>
            </w:pPr>
          </w:p>
          <w:p>
            <w:pPr>
              <w:pStyle w:val="16"/>
              <w:spacing w:before="78" w:line="221" w:lineRule="auto"/>
              <w:ind w:left="197" w:leftChars="0"/>
              <w:jc w:val="both"/>
              <w:rPr>
                <w:rFonts w:hint="eastAsia" w:ascii="仿宋" w:hAnsi="仿宋" w:eastAsia="仿宋" w:cs="仿宋"/>
                <w:spacing w:val="-4"/>
                <w:sz w:val="21"/>
                <w:szCs w:val="21"/>
              </w:rPr>
            </w:pPr>
            <w:r>
              <w:rPr>
                <w:rFonts w:hint="eastAsia" w:ascii="仿宋" w:hAnsi="仿宋" w:eastAsia="仿宋" w:cs="仿宋"/>
                <w:spacing w:val="-4"/>
                <w:sz w:val="21"/>
                <w:szCs w:val="21"/>
              </w:rPr>
              <w:t>不予行政处罚</w:t>
            </w:r>
          </w:p>
        </w:tc>
        <w:tc>
          <w:tcPr>
            <w:tcW w:w="2175" w:type="dxa"/>
            <w:vAlign w:val="center"/>
          </w:tcPr>
          <w:p>
            <w:pPr>
              <w:jc w:val="center"/>
              <w:rPr>
                <w:rFonts w:hint="eastAsia" w:ascii="仿宋" w:hAnsi="仿宋" w:eastAsia="仿宋" w:cs="仿宋"/>
                <w:i w:val="0"/>
                <w:iCs w:val="0"/>
                <w:caps w:val="0"/>
                <w:snapToGrid w:val="0"/>
                <w:color w:val="333333"/>
                <w:spacing w:val="0"/>
                <w:kern w:val="2"/>
                <w:sz w:val="21"/>
                <w:szCs w:val="21"/>
                <w:shd w:val="clear" w:fill="FFFFFF"/>
                <w:lang w:val="en-US" w:eastAsia="zh-CN" w:bidi="ar-SA"/>
              </w:rPr>
            </w:pPr>
            <w:r>
              <w:rPr>
                <w:rFonts w:hint="eastAsia" w:ascii="仿宋" w:hAnsi="仿宋" w:eastAsia="仿宋" w:cs="仿宋"/>
                <w:i w:val="0"/>
                <w:iCs w:val="0"/>
                <w:caps w:val="0"/>
                <w:color w:val="333333"/>
                <w:spacing w:val="0"/>
                <w:sz w:val="21"/>
                <w:szCs w:val="21"/>
                <w:shd w:val="clear" w:fill="FFFFFF"/>
              </w:rPr>
              <w:t>擅自移动或者毁坏林业服务标志</w:t>
            </w:r>
          </w:p>
        </w:tc>
        <w:tc>
          <w:tcPr>
            <w:tcW w:w="3099" w:type="dxa"/>
            <w:vAlign w:val="center"/>
          </w:tcPr>
          <w:p>
            <w:pPr>
              <w:jc w:val="center"/>
              <w:rPr>
                <w:rFonts w:hint="eastAsia" w:ascii="仿宋" w:hAnsi="仿宋" w:eastAsia="仿宋" w:cs="仿宋"/>
                <w:i w:val="0"/>
                <w:iCs w:val="0"/>
                <w:caps w:val="0"/>
                <w:snapToGrid w:val="0"/>
                <w:color w:val="333333"/>
                <w:spacing w:val="0"/>
                <w:kern w:val="2"/>
                <w:sz w:val="21"/>
                <w:szCs w:val="21"/>
                <w:shd w:val="clear" w:fill="FFFFFF"/>
                <w:lang w:val="en-US" w:eastAsia="zh-CN" w:bidi="ar-SA"/>
              </w:rPr>
            </w:pPr>
            <w:r>
              <w:rPr>
                <w:rFonts w:hint="eastAsia" w:ascii="仿宋" w:hAnsi="仿宋" w:eastAsia="仿宋" w:cs="仿宋"/>
                <w:i w:val="0"/>
                <w:iCs w:val="0"/>
                <w:caps w:val="0"/>
                <w:color w:val="333333"/>
                <w:spacing w:val="0"/>
                <w:sz w:val="21"/>
                <w:szCs w:val="21"/>
                <w:shd w:val="clear" w:fill="FFFFFF"/>
              </w:rPr>
              <w:t>首次实施违法行为，主动自行恢复林业服务标志原状，没有造成危害后果</w:t>
            </w:r>
            <w:r>
              <w:rPr>
                <w:rFonts w:hint="eastAsia" w:ascii="仿宋" w:hAnsi="仿宋" w:eastAsia="仿宋" w:cs="仿宋"/>
                <w:i w:val="0"/>
                <w:iCs w:val="0"/>
                <w:caps w:val="0"/>
                <w:color w:val="333333"/>
                <w:spacing w:val="0"/>
                <w:sz w:val="21"/>
                <w:szCs w:val="21"/>
                <w:shd w:val="clear" w:fill="FFFFFF"/>
                <w:lang w:eastAsia="zh-CN"/>
              </w:rPr>
              <w:t>。</w:t>
            </w:r>
          </w:p>
        </w:tc>
        <w:tc>
          <w:tcPr>
            <w:tcW w:w="4446" w:type="dxa"/>
            <w:vAlign w:val="center"/>
          </w:tcPr>
          <w:p>
            <w:pPr>
              <w:numPr>
                <w:ilvl w:val="0"/>
                <w:numId w:val="0"/>
              </w:numPr>
              <w:jc w:val="center"/>
              <w:rPr>
                <w:rFonts w:hint="eastAsia" w:ascii="仿宋" w:hAnsi="仿宋" w:eastAsia="仿宋" w:cs="仿宋"/>
                <w:i w:val="0"/>
                <w:iCs w:val="0"/>
                <w:caps w:val="0"/>
                <w:color w:val="333333"/>
                <w:spacing w:val="0"/>
                <w:sz w:val="21"/>
                <w:szCs w:val="21"/>
                <w:shd w:val="clear" w:fill="FFFFFF"/>
              </w:rPr>
            </w:pPr>
            <w:r>
              <w:rPr>
                <w:rFonts w:hint="eastAsia" w:ascii="仿宋" w:hAnsi="仿宋" w:eastAsia="仿宋" w:cs="仿宋"/>
                <w:i w:val="0"/>
                <w:iCs w:val="0"/>
                <w:caps w:val="0"/>
                <w:color w:val="333333"/>
                <w:spacing w:val="0"/>
                <w:sz w:val="21"/>
                <w:szCs w:val="21"/>
                <w:shd w:val="clear" w:fill="FFFFFF"/>
                <w:lang w:val="en-US" w:eastAsia="zh-CN"/>
              </w:rPr>
              <w:t>1.</w:t>
            </w:r>
            <w:r>
              <w:rPr>
                <w:rFonts w:hint="eastAsia" w:ascii="仿宋" w:hAnsi="仿宋" w:eastAsia="仿宋" w:cs="仿宋"/>
                <w:i w:val="0"/>
                <w:iCs w:val="0"/>
                <w:caps w:val="0"/>
                <w:color w:val="333333"/>
                <w:spacing w:val="0"/>
                <w:sz w:val="21"/>
                <w:szCs w:val="21"/>
                <w:shd w:val="clear" w:fill="FFFFFF"/>
              </w:rPr>
              <w:t>《中华人民共和国森林法》第七十五条 违反本法规定，擅自移动或者毁坏森林保护标志的，由县级以上人民政府林业主管部门恢复森林保护标志，所需费用由违法者承担。</w:t>
            </w:r>
          </w:p>
          <w:p>
            <w:pPr>
              <w:numPr>
                <w:ilvl w:val="0"/>
                <w:numId w:val="0"/>
              </w:numPr>
              <w:ind w:left="0" w:leftChars="0" w:firstLine="0" w:firstLineChars="0"/>
              <w:jc w:val="center"/>
              <w:rPr>
                <w:rFonts w:hint="eastAsia" w:ascii="仿宋" w:hAnsi="仿宋" w:eastAsia="仿宋" w:cs="仿宋"/>
                <w:i w:val="0"/>
                <w:caps w:val="0"/>
                <w:snapToGrid w:val="0"/>
                <w:color w:val="333333"/>
                <w:spacing w:val="0"/>
                <w:kern w:val="2"/>
                <w:sz w:val="21"/>
                <w:szCs w:val="21"/>
                <w:shd w:val="clear" w:fill="FFFFFF"/>
                <w:lang w:val="en-US" w:eastAsia="zh-CN" w:bidi="ar-SA"/>
              </w:rPr>
            </w:pPr>
            <w:r>
              <w:rPr>
                <w:rFonts w:hint="eastAsia" w:ascii="仿宋" w:hAnsi="仿宋" w:eastAsia="仿宋" w:cs="仿宋"/>
                <w:i w:val="0"/>
                <w:iCs w:val="0"/>
                <w:caps w:val="0"/>
                <w:color w:val="333333"/>
                <w:spacing w:val="0"/>
                <w:sz w:val="21"/>
                <w:szCs w:val="21"/>
                <w:shd w:val="clear" w:fill="FFFFFF"/>
              </w:rPr>
              <w:t>2.《中华人民共和国行政处罚法》第三十三条</w:t>
            </w:r>
            <w:r>
              <w:rPr>
                <w:rFonts w:hint="eastAsia" w:ascii="仿宋" w:hAnsi="仿宋" w:eastAsia="仿宋" w:cs="仿宋"/>
                <w:i w:val="0"/>
                <w:iCs w:val="0"/>
                <w:caps w:val="0"/>
                <w:color w:val="333333"/>
                <w:spacing w:val="0"/>
                <w:sz w:val="21"/>
                <w:szCs w:val="21"/>
                <w:shd w:val="clear" w:fill="FFFFFF"/>
                <w:lang w:eastAsia="zh-CN"/>
              </w:rPr>
              <w:t>。</w:t>
            </w:r>
          </w:p>
        </w:tc>
        <w:tc>
          <w:tcPr>
            <w:tcW w:w="1903" w:type="dxa"/>
            <w:vAlign w:val="top"/>
          </w:tcPr>
          <w:p>
            <w:pPr>
              <w:pStyle w:val="16"/>
              <w:spacing w:before="78" w:line="223" w:lineRule="auto"/>
              <w:ind w:left="54" w:leftChars="0" w:right="30" w:rightChars="0" w:firstLine="4" w:firstLineChars="0"/>
              <w:jc w:val="center"/>
              <w:rPr>
                <w:rFonts w:hint="eastAsia" w:ascii="仿宋" w:hAnsi="仿宋" w:eastAsia="仿宋" w:cs="仿宋"/>
                <w:sz w:val="21"/>
                <w:szCs w:val="21"/>
              </w:rPr>
            </w:pPr>
          </w:p>
          <w:p>
            <w:pPr>
              <w:pStyle w:val="16"/>
              <w:spacing w:before="78" w:line="223" w:lineRule="auto"/>
              <w:ind w:left="54" w:leftChars="0" w:right="30" w:rightChars="0" w:firstLine="4" w:firstLineChars="0"/>
              <w:jc w:val="center"/>
              <w:rPr>
                <w:rFonts w:hint="eastAsia" w:ascii="仿宋" w:hAnsi="仿宋" w:eastAsia="仿宋" w:cs="仿宋"/>
                <w:sz w:val="21"/>
                <w:szCs w:val="21"/>
              </w:rPr>
            </w:pPr>
          </w:p>
          <w:p>
            <w:pPr>
              <w:pStyle w:val="16"/>
              <w:spacing w:before="78" w:line="223" w:lineRule="auto"/>
              <w:ind w:left="54" w:leftChars="0" w:right="30" w:rightChars="0" w:firstLine="4" w:firstLineChars="0"/>
              <w:jc w:val="center"/>
              <w:rPr>
                <w:rFonts w:hint="eastAsia" w:ascii="仿宋" w:hAnsi="仿宋" w:eastAsia="仿宋" w:cs="仿宋"/>
                <w:sz w:val="21"/>
                <w:szCs w:val="21"/>
              </w:rPr>
            </w:pPr>
            <w:r>
              <w:rPr>
                <w:rFonts w:hint="eastAsia" w:ascii="仿宋" w:hAnsi="仿宋" w:eastAsia="仿宋" w:cs="仿宋"/>
                <w:sz w:val="21"/>
                <w:szCs w:val="21"/>
              </w:rPr>
              <w:t>包容观察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61" w:hRule="atLeast"/>
        </w:trPr>
        <w:tc>
          <w:tcPr>
            <w:tcW w:w="923" w:type="dxa"/>
            <w:vAlign w:val="top"/>
          </w:tcPr>
          <w:p>
            <w:pPr>
              <w:pStyle w:val="16"/>
              <w:spacing w:before="78" w:line="180" w:lineRule="auto"/>
              <w:ind w:left="411" w:leftChars="0"/>
              <w:jc w:val="center"/>
              <w:rPr>
                <w:rFonts w:hint="eastAsia" w:ascii="仿宋" w:hAnsi="仿宋" w:eastAsia="仿宋" w:cs="仿宋"/>
                <w:sz w:val="21"/>
                <w:szCs w:val="21"/>
                <w:lang w:val="en-US" w:eastAsia="zh-CN"/>
              </w:rPr>
            </w:pPr>
          </w:p>
          <w:p>
            <w:pPr>
              <w:pStyle w:val="16"/>
              <w:spacing w:before="78" w:line="180" w:lineRule="auto"/>
              <w:ind w:left="411" w:leftChars="0"/>
              <w:jc w:val="center"/>
              <w:rPr>
                <w:rFonts w:hint="eastAsia" w:ascii="仿宋" w:hAnsi="仿宋" w:eastAsia="仿宋" w:cs="仿宋"/>
                <w:sz w:val="21"/>
                <w:szCs w:val="21"/>
                <w:lang w:val="en-US" w:eastAsia="zh-CN"/>
              </w:rPr>
            </w:pPr>
          </w:p>
          <w:p>
            <w:pPr>
              <w:pStyle w:val="16"/>
              <w:spacing w:before="78" w:line="180" w:lineRule="auto"/>
              <w:ind w:left="411" w:leftChars="0"/>
              <w:jc w:val="center"/>
              <w:rPr>
                <w:rFonts w:hint="eastAsia" w:ascii="仿宋" w:hAnsi="仿宋" w:eastAsia="仿宋" w:cs="仿宋"/>
                <w:sz w:val="21"/>
                <w:szCs w:val="21"/>
                <w:lang w:val="en-US" w:eastAsia="zh-CN"/>
              </w:rPr>
            </w:pPr>
          </w:p>
          <w:p>
            <w:pPr>
              <w:pStyle w:val="16"/>
              <w:spacing w:before="78" w:line="180" w:lineRule="auto"/>
              <w:ind w:left="411" w:leftChars="0"/>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r>
              <w:rPr>
                <w:rFonts w:hint="eastAsia" w:cs="仿宋"/>
                <w:sz w:val="21"/>
                <w:szCs w:val="21"/>
                <w:lang w:val="en-US" w:eastAsia="zh-CN"/>
              </w:rPr>
              <w:t>0</w:t>
            </w:r>
          </w:p>
        </w:tc>
        <w:tc>
          <w:tcPr>
            <w:tcW w:w="1798" w:type="dxa"/>
            <w:vAlign w:val="top"/>
          </w:tcPr>
          <w:p>
            <w:pPr>
              <w:spacing w:line="289" w:lineRule="auto"/>
              <w:jc w:val="center"/>
              <w:rPr>
                <w:rFonts w:hint="eastAsia" w:ascii="仿宋" w:hAnsi="仿宋" w:eastAsia="仿宋" w:cs="仿宋"/>
                <w:sz w:val="21"/>
                <w:szCs w:val="21"/>
              </w:rPr>
            </w:pPr>
          </w:p>
          <w:p>
            <w:pPr>
              <w:spacing w:line="290" w:lineRule="auto"/>
              <w:jc w:val="both"/>
              <w:rPr>
                <w:rFonts w:hint="eastAsia" w:ascii="仿宋" w:hAnsi="仿宋" w:eastAsia="仿宋" w:cs="仿宋"/>
                <w:sz w:val="21"/>
                <w:szCs w:val="21"/>
              </w:rPr>
            </w:pPr>
          </w:p>
          <w:p>
            <w:pPr>
              <w:pStyle w:val="16"/>
              <w:spacing w:before="78" w:line="221" w:lineRule="auto"/>
              <w:ind w:left="197" w:leftChars="0"/>
              <w:jc w:val="both"/>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pacing w:val="-4"/>
                <w:sz w:val="21"/>
                <w:szCs w:val="21"/>
              </w:rPr>
              <w:t>不予行政处罚</w:t>
            </w:r>
          </w:p>
        </w:tc>
        <w:tc>
          <w:tcPr>
            <w:tcW w:w="2175" w:type="dxa"/>
            <w:vAlign w:val="top"/>
          </w:tcPr>
          <w:p>
            <w:pPr>
              <w:jc w:val="both"/>
              <w:rPr>
                <w:rFonts w:hint="eastAsia" w:ascii="仿宋" w:hAnsi="仿宋" w:eastAsia="仿宋" w:cs="仿宋"/>
                <w:sz w:val="21"/>
                <w:szCs w:val="21"/>
              </w:rPr>
            </w:pPr>
          </w:p>
          <w:p>
            <w:pPr>
              <w:pStyle w:val="16"/>
              <w:spacing w:before="78" w:line="224" w:lineRule="auto"/>
              <w:ind w:left="47" w:leftChars="0" w:right="207" w:rightChars="0" w:hanging="4" w:firstLineChars="0"/>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pacing w:val="-2"/>
                <w:sz w:val="21"/>
                <w:szCs w:val="21"/>
              </w:rPr>
              <w:t>破坏省保护的有益的或者有重要经济、科学研究价值的野生动物主要</w:t>
            </w:r>
            <w:r>
              <w:rPr>
                <w:rFonts w:hint="eastAsia" w:ascii="仿宋" w:hAnsi="仿宋" w:eastAsia="仿宋" w:cs="仿宋"/>
                <w:spacing w:val="-4"/>
                <w:sz w:val="21"/>
                <w:szCs w:val="21"/>
              </w:rPr>
              <w:t>生息繁衍场所</w:t>
            </w:r>
          </w:p>
        </w:tc>
        <w:tc>
          <w:tcPr>
            <w:tcW w:w="3099" w:type="dxa"/>
            <w:vAlign w:val="top"/>
          </w:tcPr>
          <w:p>
            <w:pPr>
              <w:spacing w:line="241" w:lineRule="auto"/>
              <w:jc w:val="center"/>
              <w:rPr>
                <w:rFonts w:hint="eastAsia" w:ascii="仿宋" w:hAnsi="仿宋" w:eastAsia="仿宋" w:cs="仿宋"/>
                <w:sz w:val="21"/>
                <w:szCs w:val="21"/>
              </w:rPr>
            </w:pPr>
          </w:p>
          <w:p>
            <w:pPr>
              <w:spacing w:line="241" w:lineRule="auto"/>
              <w:jc w:val="both"/>
              <w:rPr>
                <w:rFonts w:hint="eastAsia" w:ascii="仿宋" w:hAnsi="仿宋" w:eastAsia="仿宋" w:cs="仿宋"/>
                <w:sz w:val="21"/>
                <w:szCs w:val="21"/>
              </w:rPr>
            </w:pPr>
          </w:p>
          <w:p>
            <w:pPr>
              <w:pStyle w:val="16"/>
              <w:spacing w:before="78" w:line="224" w:lineRule="auto"/>
              <w:ind w:left="45" w:leftChars="0" w:right="178" w:rightChars="0" w:firstLine="5" w:firstLineChars="0"/>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pacing w:val="-3"/>
                <w:sz w:val="21"/>
                <w:szCs w:val="21"/>
              </w:rPr>
              <w:t>情节轻微，没有造成危</w:t>
            </w:r>
            <w:r>
              <w:rPr>
                <w:rFonts w:hint="eastAsia" w:ascii="仿宋" w:hAnsi="仿宋" w:eastAsia="仿宋" w:cs="仿宋"/>
                <w:spacing w:val="-2"/>
                <w:sz w:val="21"/>
                <w:szCs w:val="21"/>
              </w:rPr>
              <w:t>害的，责令停止破坏活动，限期恢复原状，不</w:t>
            </w:r>
            <w:r>
              <w:rPr>
                <w:rFonts w:hint="eastAsia" w:ascii="仿宋" w:hAnsi="仿宋" w:eastAsia="仿宋" w:cs="仿宋"/>
                <w:spacing w:val="-6"/>
                <w:sz w:val="21"/>
                <w:szCs w:val="21"/>
              </w:rPr>
              <w:t>处罚款</w:t>
            </w:r>
          </w:p>
        </w:tc>
        <w:tc>
          <w:tcPr>
            <w:tcW w:w="4446" w:type="dxa"/>
            <w:vAlign w:val="top"/>
          </w:tcPr>
          <w:p>
            <w:pPr>
              <w:pStyle w:val="16"/>
              <w:spacing w:before="221" w:line="221" w:lineRule="auto"/>
              <w:ind w:left="49"/>
              <w:jc w:val="both"/>
              <w:rPr>
                <w:rFonts w:hint="eastAsia" w:ascii="仿宋" w:hAnsi="仿宋" w:eastAsia="仿宋" w:cs="仿宋"/>
                <w:snapToGrid w:val="0"/>
                <w:color w:val="000000"/>
                <w:kern w:val="0"/>
                <w:sz w:val="21"/>
                <w:szCs w:val="21"/>
                <w:lang w:val="en-US" w:eastAsia="zh-CN" w:bidi="ar-SA"/>
              </w:rPr>
            </w:pPr>
            <w:r>
              <w:rPr>
                <w:rFonts w:hint="eastAsia" w:cs="仿宋"/>
                <w:spacing w:val="-1"/>
                <w:sz w:val="21"/>
                <w:szCs w:val="21"/>
                <w:lang w:eastAsia="zh-CN"/>
              </w:rPr>
              <w:t>《</w:t>
            </w:r>
            <w:r>
              <w:rPr>
                <w:rFonts w:hint="eastAsia" w:ascii="仿宋" w:hAnsi="仿宋" w:eastAsia="仿宋" w:cs="仿宋"/>
                <w:spacing w:val="-1"/>
                <w:sz w:val="21"/>
                <w:szCs w:val="21"/>
              </w:rPr>
              <w:t>湖南省野生动植物资源保护条例》</w:t>
            </w:r>
            <w:r>
              <w:rPr>
                <w:rFonts w:hint="eastAsia" w:ascii="仿宋" w:hAnsi="仿宋" w:eastAsia="仿宋" w:cs="仿宋"/>
                <w:spacing w:val="-2"/>
                <w:sz w:val="21"/>
                <w:szCs w:val="21"/>
              </w:rPr>
              <w:t>第二十九条第一款第一项：违反本条例，有下列行为之一尚未构成犯罪</w:t>
            </w:r>
            <w:r>
              <w:rPr>
                <w:rFonts w:hint="eastAsia" w:ascii="仿宋" w:hAnsi="仿宋" w:eastAsia="仿宋" w:cs="仿宋"/>
                <w:spacing w:val="-5"/>
                <w:sz w:val="21"/>
                <w:szCs w:val="21"/>
              </w:rPr>
              <w:t>的：</w:t>
            </w:r>
            <w:r>
              <w:rPr>
                <w:rFonts w:hint="eastAsia" w:ascii="仿宋" w:hAnsi="仿宋" w:eastAsia="仿宋" w:cs="仿宋"/>
                <w:spacing w:val="-66"/>
                <w:sz w:val="21"/>
                <w:szCs w:val="21"/>
              </w:rPr>
              <w:t xml:space="preserve"> </w:t>
            </w:r>
            <w:r>
              <w:rPr>
                <w:rFonts w:hint="eastAsia" w:ascii="仿宋" w:hAnsi="仿宋" w:eastAsia="仿宋" w:cs="仿宋"/>
                <w:spacing w:val="-5"/>
                <w:sz w:val="21"/>
                <w:szCs w:val="21"/>
              </w:rPr>
              <w:t>(一)在自然保护区、禁猎区破坏</w:t>
            </w:r>
            <w:r>
              <w:rPr>
                <w:rFonts w:hint="eastAsia" w:ascii="仿宋" w:hAnsi="仿宋" w:eastAsia="仿宋" w:cs="仿宋"/>
                <w:sz w:val="21"/>
                <w:szCs w:val="21"/>
              </w:rPr>
              <w:t xml:space="preserve">  </w:t>
            </w:r>
            <w:r>
              <w:rPr>
                <w:rFonts w:hint="eastAsia" w:ascii="仿宋" w:hAnsi="仿宋" w:eastAsia="仿宋" w:cs="仿宋"/>
                <w:spacing w:val="-2"/>
                <w:sz w:val="21"/>
                <w:szCs w:val="21"/>
              </w:rPr>
              <w:t>重点保护野生动物主要生息繁衍场所</w:t>
            </w:r>
            <w:r>
              <w:rPr>
                <w:rFonts w:hint="eastAsia" w:ascii="仿宋" w:hAnsi="仿宋" w:eastAsia="仿宋" w:cs="仿宋"/>
                <w:spacing w:val="-1"/>
                <w:sz w:val="21"/>
                <w:szCs w:val="21"/>
              </w:rPr>
              <w:t>的,责令停止破坏活动,限期恢复原状,</w:t>
            </w:r>
            <w:r>
              <w:rPr>
                <w:rFonts w:hint="eastAsia" w:ascii="仿宋" w:hAnsi="仿宋" w:eastAsia="仿宋" w:cs="仿宋"/>
                <w:sz w:val="21"/>
                <w:szCs w:val="21"/>
              </w:rPr>
              <w:t xml:space="preserve"> </w:t>
            </w:r>
            <w:r>
              <w:rPr>
                <w:rFonts w:hint="eastAsia" w:ascii="仿宋" w:hAnsi="仿宋" w:eastAsia="仿宋" w:cs="仿宋"/>
                <w:spacing w:val="-2"/>
                <w:sz w:val="21"/>
                <w:szCs w:val="21"/>
              </w:rPr>
              <w:t>处恢复原状所需费用三倍以下的罚款</w:t>
            </w:r>
            <w:r>
              <w:rPr>
                <w:rFonts w:hint="eastAsia" w:ascii="仿宋" w:hAnsi="仿宋" w:eastAsia="仿宋" w:cs="仿宋"/>
                <w:spacing w:val="-2"/>
                <w:sz w:val="21"/>
                <w:szCs w:val="21"/>
                <w:lang w:eastAsia="zh-CN"/>
              </w:rPr>
              <w:t>。</w:t>
            </w:r>
          </w:p>
        </w:tc>
        <w:tc>
          <w:tcPr>
            <w:tcW w:w="1903" w:type="dxa"/>
            <w:vAlign w:val="top"/>
          </w:tcPr>
          <w:p>
            <w:pPr>
              <w:spacing w:line="253" w:lineRule="auto"/>
              <w:jc w:val="center"/>
              <w:rPr>
                <w:rFonts w:hint="eastAsia" w:ascii="仿宋" w:hAnsi="仿宋" w:eastAsia="仿宋" w:cs="仿宋"/>
                <w:sz w:val="21"/>
                <w:szCs w:val="21"/>
              </w:rPr>
            </w:pPr>
          </w:p>
          <w:p>
            <w:pPr>
              <w:spacing w:line="253" w:lineRule="auto"/>
              <w:jc w:val="center"/>
              <w:rPr>
                <w:rFonts w:hint="eastAsia" w:ascii="仿宋" w:hAnsi="仿宋" w:eastAsia="仿宋" w:cs="仿宋"/>
                <w:sz w:val="21"/>
                <w:szCs w:val="21"/>
              </w:rPr>
            </w:pPr>
          </w:p>
          <w:p>
            <w:pPr>
              <w:spacing w:line="254" w:lineRule="auto"/>
              <w:jc w:val="both"/>
              <w:rPr>
                <w:rFonts w:hint="eastAsia" w:ascii="仿宋" w:hAnsi="仿宋" w:eastAsia="仿宋" w:cs="仿宋"/>
                <w:sz w:val="21"/>
                <w:szCs w:val="21"/>
              </w:rPr>
            </w:pPr>
          </w:p>
          <w:p>
            <w:pPr>
              <w:pStyle w:val="16"/>
              <w:spacing w:before="78" w:line="223" w:lineRule="auto"/>
              <w:ind w:left="54" w:leftChars="0" w:right="30" w:rightChars="0" w:firstLine="4" w:firstLineChars="0"/>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z w:val="21"/>
                <w:szCs w:val="21"/>
              </w:rPr>
              <w:t>包容观察</w:t>
            </w:r>
          </w:p>
        </w:tc>
      </w:tr>
    </w:tbl>
    <w:p>
      <w:pPr>
        <w:jc w:val="center"/>
        <w:rPr>
          <w:rFonts w:ascii="Arial" w:hAnsi="Arial" w:eastAsia="Arial" w:cs="Arial"/>
          <w:sz w:val="21"/>
          <w:szCs w:val="21"/>
        </w:rPr>
        <w:sectPr>
          <w:footerReference r:id="rId7" w:type="default"/>
          <w:pgSz w:w="16840" w:h="11900"/>
          <w:pgMar w:top="1011" w:right="1250" w:bottom="1027" w:left="1230" w:header="0" w:footer="684" w:gutter="0"/>
          <w:cols w:space="720" w:num="1"/>
        </w:sect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2024年桃源县林业局从轻行政处罚清单（3项）</w:t>
      </w:r>
    </w:p>
    <w:p>
      <w:pPr>
        <w:jc w:val="center"/>
        <w:rPr>
          <w:rFonts w:hint="eastAsia"/>
          <w:b/>
          <w:bCs/>
          <w:sz w:val="44"/>
          <w:szCs w:val="44"/>
          <w:lang w:val="en-US" w:eastAsia="zh-CN"/>
        </w:rPr>
      </w:pPr>
    </w:p>
    <w:tbl>
      <w:tblPr>
        <w:tblStyle w:val="5"/>
        <w:tblW w:w="14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2220"/>
        <w:gridCol w:w="3795"/>
        <w:gridCol w:w="4770"/>
        <w:gridCol w:w="2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095" w:type="dxa"/>
            <w:vAlign w:val="center"/>
          </w:tcPr>
          <w:p>
            <w:pPr>
              <w:widowControl w:val="0"/>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序号</w:t>
            </w:r>
          </w:p>
        </w:tc>
        <w:tc>
          <w:tcPr>
            <w:tcW w:w="2220" w:type="dxa"/>
            <w:vAlign w:val="center"/>
          </w:tcPr>
          <w:p>
            <w:pPr>
              <w:widowControl w:val="0"/>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rPr>
              <w:t>事项</w:t>
            </w:r>
            <w:r>
              <w:rPr>
                <w:rFonts w:hint="eastAsia" w:ascii="仿宋" w:hAnsi="仿宋" w:eastAsia="仿宋" w:cs="仿宋"/>
                <w:b/>
                <w:bCs/>
                <w:sz w:val="24"/>
                <w:szCs w:val="24"/>
                <w:lang w:eastAsia="zh-CN"/>
              </w:rPr>
              <w:t>名称</w:t>
            </w:r>
          </w:p>
        </w:tc>
        <w:tc>
          <w:tcPr>
            <w:tcW w:w="3795" w:type="dxa"/>
            <w:vAlign w:val="center"/>
          </w:tcPr>
          <w:p>
            <w:pPr>
              <w:widowControl w:val="0"/>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rPr>
              <w:t xml:space="preserve"> </w:t>
            </w:r>
            <w:r>
              <w:rPr>
                <w:rFonts w:hint="eastAsia" w:ascii="仿宋" w:hAnsi="仿宋" w:eastAsia="仿宋" w:cs="仿宋"/>
                <w:b/>
                <w:bCs/>
                <w:sz w:val="24"/>
                <w:szCs w:val="24"/>
                <w:lang w:eastAsia="zh-CN"/>
              </w:rPr>
              <w:t>从轻</w:t>
            </w:r>
            <w:r>
              <w:rPr>
                <w:rFonts w:hint="eastAsia" w:ascii="仿宋" w:hAnsi="仿宋" w:eastAsia="仿宋" w:cs="仿宋"/>
                <w:b/>
                <w:bCs/>
                <w:sz w:val="24"/>
                <w:szCs w:val="24"/>
              </w:rPr>
              <w:t xml:space="preserve">处罚的情形 </w:t>
            </w:r>
          </w:p>
        </w:tc>
        <w:tc>
          <w:tcPr>
            <w:tcW w:w="4770" w:type="dxa"/>
            <w:vAlign w:val="center"/>
          </w:tcPr>
          <w:p>
            <w:pPr>
              <w:widowControl w:val="0"/>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lang w:eastAsia="zh-CN"/>
              </w:rPr>
              <w:t>从轻</w:t>
            </w:r>
            <w:r>
              <w:rPr>
                <w:rFonts w:hint="eastAsia" w:ascii="仿宋" w:hAnsi="仿宋" w:eastAsia="仿宋" w:cs="仿宋"/>
                <w:b/>
                <w:bCs/>
                <w:sz w:val="24"/>
                <w:szCs w:val="24"/>
              </w:rPr>
              <w:t>处罚的依据</w:t>
            </w:r>
          </w:p>
        </w:tc>
        <w:tc>
          <w:tcPr>
            <w:tcW w:w="2539" w:type="dxa"/>
            <w:vAlign w:val="center"/>
          </w:tcPr>
          <w:p>
            <w:pPr>
              <w:widowControl w:val="0"/>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rPr>
              <w:t xml:space="preserve"> 配套监管措施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5" w:type="dxa"/>
            <w:vAlign w:val="center"/>
          </w:tcPr>
          <w:p>
            <w:pPr>
              <w:widowControl w:val="0"/>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w:t>
            </w:r>
          </w:p>
        </w:tc>
        <w:tc>
          <w:tcPr>
            <w:tcW w:w="2220" w:type="dxa"/>
            <w:vAlign w:val="center"/>
          </w:tcPr>
          <w:p>
            <w:pPr>
              <w:widowControl w:val="0"/>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临时使用林地逾期未恢复</w:t>
            </w:r>
          </w:p>
        </w:tc>
        <w:tc>
          <w:tcPr>
            <w:tcW w:w="3795" w:type="dxa"/>
            <w:vAlign w:val="center"/>
          </w:tcPr>
          <w:p>
            <w:pPr>
              <w:widowControl w:val="0"/>
              <w:spacing w:line="360" w:lineRule="exact"/>
              <w:jc w:val="center"/>
              <w:rPr>
                <w:rFonts w:hint="eastAsia" w:ascii="仿宋" w:hAnsi="仿宋" w:eastAsia="仿宋_gb2312" w:cs="仿宋"/>
                <w:b w:val="0"/>
                <w:bCs w:val="0"/>
                <w:color w:val="auto"/>
                <w:sz w:val="21"/>
                <w:szCs w:val="21"/>
                <w:lang w:eastAsia="zh-CN"/>
              </w:rPr>
            </w:pPr>
            <w:r>
              <w:rPr>
                <w:rFonts w:hint="eastAsia" w:ascii="仿宋" w:hAnsi="仿宋" w:eastAsia="仿宋" w:cs="仿宋"/>
                <w:b w:val="0"/>
                <w:bCs w:val="0"/>
                <w:color w:val="auto"/>
                <w:sz w:val="21"/>
                <w:szCs w:val="21"/>
              </w:rPr>
              <w:t>违法情节轻微</w:t>
            </w:r>
            <w:r>
              <w:rPr>
                <w:rFonts w:hint="eastAsia" w:ascii="仿宋" w:hAnsi="仿宋" w:eastAsia="仿宋" w:cs="仿宋"/>
                <w:b w:val="0"/>
                <w:bCs w:val="0"/>
                <w:color w:val="auto"/>
                <w:sz w:val="21"/>
                <w:szCs w:val="21"/>
                <w:lang w:eastAsia="zh-CN"/>
              </w:rPr>
              <w:t>，</w:t>
            </w:r>
            <w:r>
              <w:rPr>
                <w:rFonts w:ascii="仿宋_gb2312" w:hAnsi="仿宋_gb2312" w:eastAsia="仿宋_gb2312" w:cs="仿宋_gb2312"/>
                <w:i w:val="0"/>
                <w:iCs w:val="0"/>
                <w:caps w:val="0"/>
                <w:color w:val="333333"/>
                <w:spacing w:val="0"/>
                <w:sz w:val="21"/>
                <w:szCs w:val="21"/>
              </w:rPr>
              <w:t>主动消除或者减轻违法行为危害后果</w:t>
            </w:r>
            <w:r>
              <w:rPr>
                <w:rFonts w:hint="eastAsia" w:ascii="仿宋_gb2312" w:hAnsi="仿宋_gb2312" w:eastAsia="仿宋_gb2312" w:cs="仿宋_gb2312"/>
                <w:i w:val="0"/>
                <w:iCs w:val="0"/>
                <w:caps w:val="0"/>
                <w:color w:val="333333"/>
                <w:spacing w:val="0"/>
                <w:sz w:val="21"/>
                <w:szCs w:val="21"/>
                <w:lang w:eastAsia="zh-CN"/>
              </w:rPr>
              <w:t>或正在补办建设用地手续</w:t>
            </w:r>
            <w:r>
              <w:rPr>
                <w:rFonts w:ascii="仿宋_gb2312" w:hAnsi="仿宋_gb2312" w:eastAsia="仿宋_gb2312" w:cs="仿宋_gb2312"/>
                <w:i w:val="0"/>
                <w:iCs w:val="0"/>
                <w:caps w:val="0"/>
                <w:color w:val="333333"/>
                <w:spacing w:val="0"/>
                <w:sz w:val="21"/>
                <w:szCs w:val="21"/>
              </w:rPr>
              <w:t>的</w:t>
            </w:r>
            <w:r>
              <w:rPr>
                <w:rFonts w:hint="eastAsia" w:ascii="仿宋_gb2312" w:hAnsi="仿宋_gb2312" w:eastAsia="仿宋_gb2312" w:cs="仿宋_gb2312"/>
                <w:i w:val="0"/>
                <w:iCs w:val="0"/>
                <w:caps w:val="0"/>
                <w:color w:val="333333"/>
                <w:spacing w:val="0"/>
                <w:sz w:val="21"/>
                <w:szCs w:val="21"/>
                <w:lang w:eastAsia="zh-CN"/>
              </w:rPr>
              <w:t>。</w:t>
            </w:r>
          </w:p>
          <w:p>
            <w:pPr>
              <w:widowControl w:val="0"/>
              <w:jc w:val="center"/>
              <w:rPr>
                <w:rFonts w:hint="eastAsia" w:ascii="仿宋" w:hAnsi="仿宋" w:eastAsia="仿宋" w:cs="仿宋"/>
                <w:b w:val="0"/>
                <w:bCs w:val="0"/>
                <w:sz w:val="21"/>
                <w:szCs w:val="21"/>
                <w:vertAlign w:val="baseline"/>
                <w:lang w:val="en-US" w:eastAsia="zh-CN"/>
              </w:rPr>
            </w:pPr>
          </w:p>
        </w:tc>
        <w:tc>
          <w:tcPr>
            <w:tcW w:w="4770" w:type="dxa"/>
            <w:vAlign w:val="center"/>
          </w:tcPr>
          <w:p>
            <w:pPr>
              <w:widowControl w:val="0"/>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1.《中华人民共和国森林法》第七十三条第三款：在临时使用的林地上修建永久性建筑物，或者临时使用林地期满后一年内未恢复植被或者林业生产条件的，依照本条第一款规定处罚。</w:t>
            </w:r>
          </w:p>
          <w:p>
            <w:pPr>
              <w:widowControl w:val="0"/>
              <w:jc w:val="both"/>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w:t>
            </w:r>
            <w:r>
              <w:rPr>
                <w:rFonts w:hint="eastAsia" w:ascii="仿宋" w:hAnsi="仿宋" w:eastAsia="仿宋" w:cs="仿宋"/>
                <w:sz w:val="21"/>
                <w:szCs w:val="21"/>
              </w:rPr>
              <w:t>《行政处罚法》第三十</w:t>
            </w:r>
            <w:r>
              <w:rPr>
                <w:rFonts w:hint="eastAsia" w:ascii="仿宋" w:hAnsi="仿宋" w:eastAsia="仿宋" w:cs="仿宋"/>
                <w:sz w:val="21"/>
                <w:szCs w:val="21"/>
                <w:lang w:val="en-US" w:eastAsia="zh-CN"/>
              </w:rPr>
              <w:t>二</w:t>
            </w:r>
            <w:r>
              <w:rPr>
                <w:rFonts w:hint="eastAsia" w:ascii="仿宋" w:hAnsi="仿宋" w:eastAsia="仿宋" w:cs="仿宋"/>
                <w:sz w:val="21"/>
                <w:szCs w:val="21"/>
              </w:rPr>
              <w:t>条。</w:t>
            </w:r>
          </w:p>
        </w:tc>
        <w:tc>
          <w:tcPr>
            <w:tcW w:w="2539" w:type="dxa"/>
            <w:vAlign w:val="center"/>
          </w:tcPr>
          <w:p>
            <w:pPr>
              <w:widowControl w:val="0"/>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sz w:val="21"/>
                <w:szCs w:val="21"/>
              </w:rPr>
              <w:t>包容观察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095" w:type="dxa"/>
            <w:vAlign w:val="center"/>
          </w:tcPr>
          <w:p>
            <w:pPr>
              <w:widowControl w:val="0"/>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w:t>
            </w:r>
          </w:p>
        </w:tc>
        <w:tc>
          <w:tcPr>
            <w:tcW w:w="2220" w:type="dxa"/>
            <w:vAlign w:val="center"/>
          </w:tcPr>
          <w:p>
            <w:pPr>
              <w:widowControl w:val="0"/>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rPr>
              <w:t>擅自改变林地用途</w:t>
            </w:r>
          </w:p>
        </w:tc>
        <w:tc>
          <w:tcPr>
            <w:tcW w:w="3795" w:type="dxa"/>
            <w:vAlign w:val="center"/>
          </w:tcPr>
          <w:p>
            <w:pPr>
              <w:widowControl w:val="0"/>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rPr>
              <w:t>违法</w:t>
            </w:r>
            <w:r>
              <w:rPr>
                <w:rFonts w:hint="eastAsia" w:ascii="仿宋" w:hAnsi="仿宋" w:eastAsia="仿宋" w:cs="仿宋"/>
                <w:sz w:val="21"/>
                <w:szCs w:val="21"/>
                <w:lang w:eastAsia="zh-CN"/>
              </w:rPr>
              <w:t>情节</w:t>
            </w:r>
            <w:r>
              <w:rPr>
                <w:rFonts w:hint="eastAsia" w:ascii="仿宋" w:hAnsi="仿宋" w:eastAsia="仿宋" w:cs="仿宋"/>
                <w:sz w:val="21"/>
                <w:szCs w:val="21"/>
              </w:rPr>
              <w:t>轻微</w:t>
            </w:r>
            <w:r>
              <w:rPr>
                <w:rFonts w:hint="eastAsia" w:ascii="仿宋" w:hAnsi="仿宋" w:eastAsia="仿宋" w:cs="仿宋"/>
                <w:sz w:val="21"/>
                <w:szCs w:val="21"/>
                <w:lang w:eastAsia="zh-CN"/>
              </w:rPr>
              <w:t>，处罚前</w:t>
            </w:r>
            <w:r>
              <w:rPr>
                <w:rFonts w:hint="eastAsia" w:ascii="仿宋" w:hAnsi="仿宋" w:eastAsia="仿宋" w:cs="仿宋"/>
                <w:sz w:val="21"/>
                <w:szCs w:val="21"/>
              </w:rPr>
              <w:t>恢复植被和林业生产条件并符合</w:t>
            </w:r>
            <w:r>
              <w:rPr>
                <w:rFonts w:hint="eastAsia" w:ascii="仿宋" w:hAnsi="仿宋" w:eastAsia="仿宋" w:cs="仿宋"/>
                <w:sz w:val="21"/>
                <w:szCs w:val="21"/>
                <w:lang w:eastAsia="zh-CN"/>
              </w:rPr>
              <w:t>验收</w:t>
            </w:r>
            <w:r>
              <w:rPr>
                <w:rFonts w:hint="eastAsia" w:ascii="仿宋" w:hAnsi="仿宋" w:eastAsia="仿宋" w:cs="仿宋"/>
                <w:sz w:val="21"/>
                <w:szCs w:val="21"/>
              </w:rPr>
              <w:t>条件的。</w:t>
            </w:r>
          </w:p>
        </w:tc>
        <w:tc>
          <w:tcPr>
            <w:tcW w:w="4770" w:type="dxa"/>
            <w:vAlign w:val="center"/>
          </w:tcPr>
          <w:p>
            <w:pPr>
              <w:widowControl w:val="0"/>
              <w:numPr>
                <w:ilvl w:val="0"/>
                <w:numId w:val="0"/>
              </w:numPr>
              <w:jc w:val="both"/>
              <w:rPr>
                <w:rFonts w:hint="eastAsia" w:ascii="仿宋" w:hAnsi="仿宋" w:eastAsia="仿宋" w:cs="仿宋"/>
                <w:sz w:val="21"/>
                <w:szCs w:val="21"/>
              </w:rPr>
            </w:pPr>
            <w:r>
              <w:rPr>
                <w:rFonts w:hint="eastAsia" w:ascii="仿宋" w:hAnsi="仿宋" w:eastAsia="仿宋" w:cs="仿宋"/>
                <w:sz w:val="21"/>
                <w:szCs w:val="21"/>
                <w:lang w:val="en-US" w:eastAsia="zh-CN"/>
              </w:rPr>
              <w:t>1.《中华人民共和国森林法》</w:t>
            </w:r>
            <w:r>
              <w:rPr>
                <w:rFonts w:hint="eastAsia" w:ascii="仿宋" w:hAnsi="仿宋" w:eastAsia="仿宋" w:cs="仿宋"/>
                <w:sz w:val="21"/>
                <w:szCs w:val="21"/>
              </w:rPr>
              <w:t>第七十三条</w:t>
            </w:r>
            <w:r>
              <w:rPr>
                <w:rFonts w:hint="eastAsia" w:ascii="仿宋" w:hAnsi="仿宋" w:eastAsia="仿宋" w:cs="仿宋"/>
                <w:sz w:val="21"/>
                <w:szCs w:val="21"/>
                <w:lang w:eastAsia="zh-CN"/>
              </w:rPr>
              <w:t>第一款</w:t>
            </w:r>
            <w:r>
              <w:rPr>
                <w:rFonts w:hint="eastAsia" w:ascii="仿宋" w:hAnsi="仿宋" w:eastAsia="仿宋" w:cs="仿宋"/>
                <w:sz w:val="21"/>
                <w:szCs w:val="21"/>
              </w:rPr>
              <w:t xml:space="preserve"> 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p>
            <w:pPr>
              <w:widowControl w:val="0"/>
              <w:numPr>
                <w:ilvl w:val="0"/>
                <w:numId w:val="0"/>
              </w:numPr>
              <w:ind w:left="0" w:leftChars="0" w:firstLine="0" w:firstLineChars="0"/>
              <w:jc w:val="both"/>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lang w:val="en-US" w:eastAsia="zh-CN"/>
              </w:rPr>
              <w:t>2.</w:t>
            </w:r>
            <w:r>
              <w:rPr>
                <w:rFonts w:hint="eastAsia" w:ascii="仿宋" w:hAnsi="仿宋" w:eastAsia="仿宋" w:cs="仿宋"/>
                <w:sz w:val="21"/>
                <w:szCs w:val="21"/>
              </w:rPr>
              <w:t>《行政处罚法》第三十</w:t>
            </w:r>
            <w:r>
              <w:rPr>
                <w:rFonts w:hint="eastAsia" w:ascii="仿宋" w:hAnsi="仿宋" w:eastAsia="仿宋" w:cs="仿宋"/>
                <w:sz w:val="21"/>
                <w:szCs w:val="21"/>
                <w:lang w:val="en-US" w:eastAsia="zh-CN"/>
              </w:rPr>
              <w:t>二</w:t>
            </w:r>
            <w:r>
              <w:rPr>
                <w:rFonts w:hint="eastAsia" w:ascii="仿宋" w:hAnsi="仿宋" w:eastAsia="仿宋" w:cs="仿宋"/>
                <w:sz w:val="21"/>
                <w:szCs w:val="21"/>
              </w:rPr>
              <w:t>条</w:t>
            </w:r>
            <w:r>
              <w:rPr>
                <w:rFonts w:hint="eastAsia" w:ascii="仿宋" w:hAnsi="仿宋" w:eastAsia="仿宋" w:cs="仿宋"/>
                <w:sz w:val="21"/>
                <w:szCs w:val="21"/>
                <w:lang w:eastAsia="zh-CN"/>
              </w:rPr>
              <w:t>。</w:t>
            </w:r>
          </w:p>
        </w:tc>
        <w:tc>
          <w:tcPr>
            <w:tcW w:w="2539" w:type="dxa"/>
            <w:vAlign w:val="center"/>
          </w:tcPr>
          <w:p>
            <w:pPr>
              <w:widowControl w:val="0"/>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rPr>
              <w:t>包容观察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trPr>
        <w:tc>
          <w:tcPr>
            <w:tcW w:w="1095" w:type="dxa"/>
            <w:vAlign w:val="center"/>
          </w:tcPr>
          <w:p>
            <w:pPr>
              <w:widowControl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3</w:t>
            </w:r>
          </w:p>
        </w:tc>
        <w:tc>
          <w:tcPr>
            <w:tcW w:w="2220" w:type="dxa"/>
            <w:vAlign w:val="center"/>
          </w:tcPr>
          <w:p>
            <w:pPr>
              <w:widowControl w:val="0"/>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rPr>
              <w:t>滥伐林木行为</w:t>
            </w:r>
          </w:p>
        </w:tc>
        <w:tc>
          <w:tcPr>
            <w:tcW w:w="3795" w:type="dxa"/>
            <w:vAlign w:val="center"/>
          </w:tcPr>
          <w:p>
            <w:pPr>
              <w:widowControl w:val="0"/>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rPr>
              <w:t>违法</w:t>
            </w:r>
            <w:r>
              <w:rPr>
                <w:rFonts w:hint="eastAsia" w:ascii="仿宋" w:hAnsi="仿宋" w:eastAsia="仿宋" w:cs="仿宋"/>
                <w:sz w:val="21"/>
                <w:szCs w:val="21"/>
                <w:lang w:eastAsia="zh-CN"/>
              </w:rPr>
              <w:t>情节</w:t>
            </w:r>
            <w:r>
              <w:rPr>
                <w:rFonts w:hint="eastAsia" w:ascii="仿宋" w:hAnsi="仿宋" w:eastAsia="仿宋" w:cs="仿宋"/>
                <w:sz w:val="21"/>
                <w:szCs w:val="21"/>
              </w:rPr>
              <w:t>轻微，</w:t>
            </w:r>
            <w:r>
              <w:rPr>
                <w:rFonts w:hint="eastAsia" w:ascii="仿宋" w:hAnsi="仿宋" w:eastAsia="仿宋" w:cs="仿宋"/>
                <w:sz w:val="21"/>
                <w:szCs w:val="21"/>
                <w:lang w:eastAsia="zh-CN"/>
              </w:rPr>
              <w:t>处罚前</w:t>
            </w:r>
            <w:r>
              <w:rPr>
                <w:rFonts w:hint="eastAsia" w:ascii="仿宋" w:hAnsi="仿宋" w:eastAsia="仿宋" w:cs="仿宋"/>
                <w:sz w:val="21"/>
                <w:szCs w:val="21"/>
              </w:rPr>
              <w:t>完成补种树木并符合补种条件的。</w:t>
            </w:r>
          </w:p>
        </w:tc>
        <w:tc>
          <w:tcPr>
            <w:tcW w:w="4770" w:type="dxa"/>
            <w:vAlign w:val="center"/>
          </w:tcPr>
          <w:p>
            <w:pPr>
              <w:widowControl w:val="0"/>
              <w:numPr>
                <w:ilvl w:val="0"/>
                <w:numId w:val="0"/>
              </w:numPr>
              <w:jc w:val="both"/>
              <w:rPr>
                <w:rFonts w:hint="eastAsia" w:ascii="仿宋" w:hAnsi="仿宋" w:eastAsia="仿宋" w:cs="仿宋"/>
                <w:sz w:val="21"/>
                <w:szCs w:val="21"/>
              </w:rPr>
            </w:pPr>
            <w:r>
              <w:rPr>
                <w:rFonts w:hint="eastAsia" w:ascii="仿宋" w:hAnsi="仿宋" w:eastAsia="仿宋" w:cs="仿宋"/>
                <w:sz w:val="21"/>
                <w:szCs w:val="21"/>
                <w:lang w:val="en-US" w:eastAsia="zh-CN"/>
              </w:rPr>
              <w:t>1.《中华人民共和国森林法》第七十六第二款：滥伐林木的，由县级以上人民政府林业主管部门责令限期在原地或者异地补种滥伐株数一倍以上三倍以下的树木，可以处滥伐林木价值三倍以上五倍以下的罚款。</w:t>
            </w:r>
          </w:p>
          <w:p>
            <w:pPr>
              <w:widowControl w:val="0"/>
              <w:numPr>
                <w:ilvl w:val="0"/>
                <w:numId w:val="0"/>
              </w:num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r>
              <w:rPr>
                <w:rFonts w:hint="eastAsia" w:ascii="仿宋" w:hAnsi="仿宋" w:eastAsia="仿宋" w:cs="仿宋"/>
                <w:sz w:val="21"/>
                <w:szCs w:val="21"/>
              </w:rPr>
              <w:t>《行政处罚法》第三十</w:t>
            </w:r>
            <w:r>
              <w:rPr>
                <w:rFonts w:hint="eastAsia" w:ascii="仿宋" w:hAnsi="仿宋" w:eastAsia="仿宋" w:cs="仿宋"/>
                <w:sz w:val="21"/>
                <w:szCs w:val="21"/>
                <w:lang w:val="en-US" w:eastAsia="zh-CN"/>
              </w:rPr>
              <w:t>二</w:t>
            </w:r>
            <w:r>
              <w:rPr>
                <w:rFonts w:hint="eastAsia" w:ascii="仿宋" w:hAnsi="仿宋" w:eastAsia="仿宋" w:cs="仿宋"/>
                <w:sz w:val="21"/>
                <w:szCs w:val="21"/>
              </w:rPr>
              <w:t>条</w:t>
            </w:r>
            <w:r>
              <w:rPr>
                <w:rFonts w:hint="eastAsia" w:ascii="仿宋" w:hAnsi="仿宋" w:eastAsia="仿宋" w:cs="仿宋"/>
                <w:sz w:val="21"/>
                <w:szCs w:val="21"/>
                <w:lang w:eastAsia="zh-CN"/>
              </w:rPr>
              <w:t>。</w:t>
            </w:r>
          </w:p>
        </w:tc>
        <w:tc>
          <w:tcPr>
            <w:tcW w:w="2539" w:type="dxa"/>
            <w:vAlign w:val="center"/>
          </w:tcPr>
          <w:p>
            <w:pPr>
              <w:widowControl w:val="0"/>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rPr>
              <w:t>包容观察</w:t>
            </w:r>
          </w:p>
        </w:tc>
      </w:tr>
    </w:tbl>
    <w:p>
      <w:pPr>
        <w:jc w:val="both"/>
        <w:rPr>
          <w:rFonts w:hint="eastAsia" w:ascii="仿宋" w:hAnsi="仿宋" w:eastAsia="仿宋" w:cs="仿宋"/>
          <w:b/>
          <w:bCs/>
          <w:sz w:val="44"/>
          <w:szCs w:val="44"/>
          <w:lang w:val="en-US" w:eastAsia="zh-CN"/>
        </w:rPr>
      </w:pPr>
    </w:p>
    <w:p>
      <w:pPr>
        <w:jc w:val="center"/>
        <w:rPr>
          <w:rFonts w:hint="eastAsia" w:ascii="仿宋" w:hAnsi="仿宋" w:eastAsia="仿宋" w:cs="仿宋"/>
          <w:b/>
          <w:bCs/>
          <w:sz w:val="44"/>
          <w:szCs w:val="44"/>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2024年桃源县林业局减轻行政处罚清单（4项）</w:t>
      </w:r>
    </w:p>
    <w:tbl>
      <w:tblPr>
        <w:tblStyle w:val="5"/>
        <w:tblW w:w="14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2865"/>
        <w:gridCol w:w="3285"/>
        <w:gridCol w:w="4600"/>
        <w:gridCol w:w="2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45" w:type="dxa"/>
            <w:vAlign w:val="center"/>
          </w:tcPr>
          <w:p>
            <w:pPr>
              <w:widowControl w:val="0"/>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序号</w:t>
            </w:r>
          </w:p>
        </w:tc>
        <w:tc>
          <w:tcPr>
            <w:tcW w:w="2865" w:type="dxa"/>
            <w:vAlign w:val="center"/>
          </w:tcPr>
          <w:p>
            <w:pPr>
              <w:widowControl w:val="0"/>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rPr>
              <w:t>事项</w:t>
            </w:r>
            <w:r>
              <w:rPr>
                <w:rFonts w:hint="eastAsia" w:ascii="仿宋" w:hAnsi="仿宋" w:eastAsia="仿宋" w:cs="仿宋"/>
                <w:b/>
                <w:bCs/>
                <w:sz w:val="24"/>
                <w:szCs w:val="24"/>
                <w:lang w:eastAsia="zh-CN"/>
              </w:rPr>
              <w:t>名称</w:t>
            </w:r>
          </w:p>
        </w:tc>
        <w:tc>
          <w:tcPr>
            <w:tcW w:w="3285" w:type="dxa"/>
            <w:vAlign w:val="center"/>
          </w:tcPr>
          <w:p>
            <w:pPr>
              <w:widowControl w:val="0"/>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rPr>
              <w:t xml:space="preserve"> </w:t>
            </w:r>
            <w:r>
              <w:rPr>
                <w:rFonts w:hint="eastAsia" w:ascii="仿宋" w:hAnsi="仿宋" w:eastAsia="仿宋" w:cs="仿宋"/>
                <w:b/>
                <w:bCs/>
                <w:sz w:val="24"/>
                <w:szCs w:val="24"/>
                <w:lang w:eastAsia="zh-CN"/>
              </w:rPr>
              <w:t>减轻</w:t>
            </w:r>
            <w:r>
              <w:rPr>
                <w:rFonts w:hint="eastAsia" w:ascii="仿宋" w:hAnsi="仿宋" w:eastAsia="仿宋" w:cs="仿宋"/>
                <w:b/>
                <w:bCs/>
                <w:sz w:val="24"/>
                <w:szCs w:val="24"/>
              </w:rPr>
              <w:t xml:space="preserve">处罚的情形 </w:t>
            </w:r>
          </w:p>
        </w:tc>
        <w:tc>
          <w:tcPr>
            <w:tcW w:w="4600" w:type="dxa"/>
            <w:vAlign w:val="center"/>
          </w:tcPr>
          <w:p>
            <w:pPr>
              <w:widowControl w:val="0"/>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lang w:eastAsia="zh-CN"/>
              </w:rPr>
              <w:t>减轻</w:t>
            </w:r>
            <w:r>
              <w:rPr>
                <w:rFonts w:hint="eastAsia" w:ascii="仿宋" w:hAnsi="仿宋" w:eastAsia="仿宋" w:cs="仿宋"/>
                <w:b/>
                <w:bCs/>
                <w:sz w:val="24"/>
                <w:szCs w:val="24"/>
              </w:rPr>
              <w:t>处罚的依据</w:t>
            </w:r>
          </w:p>
        </w:tc>
        <w:tc>
          <w:tcPr>
            <w:tcW w:w="2924" w:type="dxa"/>
            <w:vAlign w:val="center"/>
          </w:tcPr>
          <w:p>
            <w:pPr>
              <w:widowControl w:val="0"/>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rPr>
              <w:t xml:space="preserve"> 配套监管措施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trPr>
        <w:tc>
          <w:tcPr>
            <w:tcW w:w="945" w:type="dxa"/>
            <w:vAlign w:val="center"/>
          </w:tcPr>
          <w:p>
            <w:pPr>
              <w:widowControl w:val="0"/>
              <w:jc w:val="center"/>
              <w:rPr>
                <w:rFonts w:hint="default"/>
                <w:b/>
                <w:bCs/>
                <w:sz w:val="21"/>
                <w:szCs w:val="21"/>
                <w:vertAlign w:val="baseline"/>
                <w:lang w:val="en-US" w:eastAsia="zh-CN"/>
              </w:rPr>
            </w:pPr>
            <w:r>
              <w:rPr>
                <w:rFonts w:hint="eastAsia"/>
                <w:b/>
                <w:bCs/>
                <w:sz w:val="21"/>
                <w:szCs w:val="21"/>
                <w:vertAlign w:val="baseline"/>
                <w:lang w:val="en-US" w:eastAsia="zh-CN"/>
              </w:rPr>
              <w:t>1</w:t>
            </w:r>
          </w:p>
        </w:tc>
        <w:tc>
          <w:tcPr>
            <w:tcW w:w="2865" w:type="dxa"/>
            <w:vAlign w:val="center"/>
          </w:tcPr>
          <w:p>
            <w:pPr>
              <w:widowControl w:val="0"/>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非法收购、加工、运输明知是非法来源的林木</w:t>
            </w:r>
          </w:p>
        </w:tc>
        <w:tc>
          <w:tcPr>
            <w:tcW w:w="3285" w:type="dxa"/>
            <w:vAlign w:val="center"/>
          </w:tcPr>
          <w:p>
            <w:pPr>
              <w:pStyle w:val="3"/>
              <w:keepNext w:val="0"/>
              <w:keepLines w:val="0"/>
              <w:widowControl/>
              <w:suppressLineNumbers w:val="0"/>
              <w:ind w:left="0" w:leftChars="0" w:right="0" w:rightChars="0"/>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rPr>
              <w:t>违法行为轻微</w:t>
            </w:r>
            <w:r>
              <w:rPr>
                <w:rFonts w:hint="eastAsia" w:ascii="仿宋" w:hAnsi="仿宋" w:eastAsia="仿宋" w:cs="仿宋"/>
                <w:sz w:val="21"/>
                <w:szCs w:val="21"/>
                <w:lang w:val="en-US" w:eastAsia="zh-CN"/>
              </w:rPr>
              <w:t>(</w:t>
            </w:r>
            <w:r>
              <w:rPr>
                <w:rFonts w:hint="eastAsia" w:ascii="仿宋" w:hAnsi="仿宋" w:eastAsia="仿宋" w:cs="仿宋"/>
                <w:kern w:val="2"/>
                <w:sz w:val="21"/>
                <w:szCs w:val="21"/>
                <w:vertAlign w:val="baseline"/>
                <w:lang w:val="en-US" w:eastAsia="zh-CN" w:bidi="ar-SA"/>
              </w:rPr>
              <w:t>非法收购、加工、 运输立木蓄积3立方米以下）</w:t>
            </w:r>
            <w:r>
              <w:rPr>
                <w:rFonts w:hint="eastAsia" w:ascii="仿宋" w:hAnsi="仿宋" w:eastAsia="仿宋" w:cs="仿宋"/>
                <w:sz w:val="21"/>
                <w:szCs w:val="21"/>
                <w:lang w:eastAsia="zh-CN"/>
              </w:rPr>
              <w:t>，</w:t>
            </w:r>
            <w:r>
              <w:rPr>
                <w:rFonts w:hint="eastAsia" w:ascii="仿宋" w:hAnsi="仿宋" w:eastAsia="仿宋" w:cs="仿宋"/>
                <w:b w:val="0"/>
                <w:bCs w:val="0"/>
                <w:color w:val="auto"/>
                <w:sz w:val="21"/>
                <w:szCs w:val="21"/>
                <w:lang w:eastAsia="zh-CN"/>
              </w:rPr>
              <w:t>未造成重大危害，</w:t>
            </w:r>
            <w:r>
              <w:rPr>
                <w:rFonts w:hint="eastAsia" w:ascii="仿宋" w:hAnsi="仿宋" w:eastAsia="仿宋" w:cs="仿宋"/>
                <w:sz w:val="21"/>
                <w:szCs w:val="21"/>
                <w:lang w:eastAsia="zh-CN"/>
              </w:rPr>
              <w:t>主动供述行政机关尚未掌握的违法行为的</w:t>
            </w:r>
            <w:r>
              <w:rPr>
                <w:rFonts w:hint="eastAsia" w:ascii="仿宋" w:hAnsi="仿宋" w:eastAsia="仿宋" w:cs="仿宋"/>
                <w:sz w:val="21"/>
                <w:szCs w:val="21"/>
              </w:rPr>
              <w:t>。</w:t>
            </w:r>
          </w:p>
        </w:tc>
        <w:tc>
          <w:tcPr>
            <w:tcW w:w="4600" w:type="dxa"/>
            <w:vAlign w:val="center"/>
          </w:tcPr>
          <w:p>
            <w:pPr>
              <w:widowControl w:val="0"/>
              <w:numPr>
                <w:ilvl w:val="0"/>
                <w:numId w:val="2"/>
              </w:numPr>
              <w:ind w:left="0" w:leftChars="0" w:firstLine="0" w:firstLineChars="0"/>
              <w:jc w:val="both"/>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中华人民共和国森林法》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p>
            <w:pPr>
              <w:widowControl w:val="0"/>
              <w:numPr>
                <w:ilvl w:val="0"/>
                <w:numId w:val="0"/>
              </w:numPr>
              <w:ind w:left="0" w:leftChars="0" w:firstLine="0" w:firstLineChars="0"/>
              <w:jc w:val="both"/>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lang w:val="en-US" w:eastAsia="zh-CN"/>
              </w:rPr>
              <w:t>2.</w:t>
            </w:r>
            <w:r>
              <w:rPr>
                <w:rFonts w:hint="eastAsia" w:ascii="仿宋" w:hAnsi="仿宋" w:eastAsia="仿宋" w:cs="仿宋"/>
                <w:sz w:val="21"/>
                <w:szCs w:val="21"/>
              </w:rPr>
              <w:t>《行政处罚法》第三十</w:t>
            </w:r>
            <w:r>
              <w:rPr>
                <w:rFonts w:hint="eastAsia" w:ascii="仿宋" w:hAnsi="仿宋" w:eastAsia="仿宋" w:cs="仿宋"/>
                <w:sz w:val="21"/>
                <w:szCs w:val="21"/>
                <w:lang w:val="en-US" w:eastAsia="zh-CN"/>
              </w:rPr>
              <w:t>二</w:t>
            </w:r>
            <w:r>
              <w:rPr>
                <w:rFonts w:hint="eastAsia" w:ascii="仿宋" w:hAnsi="仿宋" w:eastAsia="仿宋" w:cs="仿宋"/>
                <w:sz w:val="21"/>
                <w:szCs w:val="21"/>
              </w:rPr>
              <w:t>条</w:t>
            </w:r>
            <w:r>
              <w:rPr>
                <w:rFonts w:hint="eastAsia" w:ascii="仿宋" w:hAnsi="仿宋" w:eastAsia="仿宋" w:cs="仿宋"/>
                <w:sz w:val="21"/>
                <w:szCs w:val="21"/>
                <w:lang w:eastAsia="zh-CN"/>
              </w:rPr>
              <w:t>。</w:t>
            </w:r>
          </w:p>
        </w:tc>
        <w:tc>
          <w:tcPr>
            <w:tcW w:w="2924" w:type="dxa"/>
            <w:vAlign w:val="center"/>
          </w:tcPr>
          <w:p>
            <w:pPr>
              <w:widowControl w:val="0"/>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rPr>
              <w:t>包容观察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7" w:hRule="atLeast"/>
        </w:trPr>
        <w:tc>
          <w:tcPr>
            <w:tcW w:w="945" w:type="dxa"/>
            <w:vAlign w:val="center"/>
          </w:tcPr>
          <w:p>
            <w:pPr>
              <w:widowControl w:val="0"/>
              <w:jc w:val="center"/>
              <w:rPr>
                <w:rFonts w:hint="default"/>
                <w:b/>
                <w:bCs/>
                <w:sz w:val="21"/>
                <w:szCs w:val="21"/>
                <w:vertAlign w:val="baseline"/>
                <w:lang w:val="en-US" w:eastAsia="zh-CN"/>
              </w:rPr>
            </w:pPr>
            <w:r>
              <w:rPr>
                <w:rFonts w:hint="eastAsia"/>
                <w:b/>
                <w:bCs/>
                <w:sz w:val="21"/>
                <w:szCs w:val="21"/>
                <w:vertAlign w:val="baseline"/>
                <w:lang w:val="en-US" w:eastAsia="zh-CN"/>
              </w:rPr>
              <w:t>2</w:t>
            </w:r>
          </w:p>
        </w:tc>
        <w:tc>
          <w:tcPr>
            <w:tcW w:w="2865" w:type="dxa"/>
            <w:vAlign w:val="center"/>
          </w:tcPr>
          <w:p>
            <w:pPr>
              <w:widowControl w:val="0"/>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违法生产、加工、包装、检验和贮藏林木种子</w:t>
            </w:r>
          </w:p>
        </w:tc>
        <w:tc>
          <w:tcPr>
            <w:tcW w:w="3285" w:type="dxa"/>
            <w:vAlign w:val="center"/>
          </w:tcPr>
          <w:p>
            <w:pPr>
              <w:widowControl w:val="0"/>
              <w:spacing w:line="360" w:lineRule="exact"/>
              <w:jc w:val="center"/>
              <w:rPr>
                <w:rFonts w:hint="eastAsia" w:ascii="仿宋" w:hAnsi="仿宋" w:eastAsia="仿宋_gb2312" w:cs="仿宋"/>
                <w:b w:val="0"/>
                <w:bCs w:val="0"/>
                <w:color w:val="auto"/>
                <w:sz w:val="21"/>
                <w:szCs w:val="21"/>
                <w:lang w:eastAsia="zh-CN"/>
              </w:rPr>
            </w:pPr>
            <w:r>
              <w:rPr>
                <w:rFonts w:hint="eastAsia" w:ascii="仿宋" w:hAnsi="仿宋" w:eastAsia="仿宋" w:cs="仿宋"/>
                <w:kern w:val="2"/>
                <w:sz w:val="21"/>
                <w:szCs w:val="21"/>
                <w:vertAlign w:val="baseline"/>
                <w:lang w:val="en-US" w:eastAsia="zh-CN" w:bidi="ar-SA"/>
              </w:rPr>
              <w:t>违法行为轻微（违法生产、加工、包装、检验和贮藏种子数量 10 公斤以下或者珍贵树木种子价值2000元以下），</w:t>
            </w:r>
            <w:r>
              <w:rPr>
                <w:rFonts w:hint="eastAsia" w:ascii="仿宋" w:hAnsi="仿宋" w:eastAsia="仿宋" w:cs="仿宋"/>
                <w:b w:val="0"/>
                <w:bCs w:val="0"/>
                <w:color w:val="auto"/>
                <w:sz w:val="21"/>
                <w:szCs w:val="21"/>
                <w:lang w:eastAsia="zh-CN"/>
              </w:rPr>
              <w:t>未造成重大危害且主动整改，消除、减轻违法行为危害后果的，</w:t>
            </w:r>
            <w:r>
              <w:rPr>
                <w:rFonts w:hint="eastAsia" w:ascii="仿宋" w:hAnsi="仿宋" w:eastAsia="仿宋" w:cs="仿宋"/>
                <w:sz w:val="21"/>
                <w:szCs w:val="21"/>
                <w:lang w:eastAsia="zh-CN"/>
              </w:rPr>
              <w:t>主动供述行政机关尚未掌握的违法行为的</w:t>
            </w:r>
            <w:r>
              <w:rPr>
                <w:rFonts w:hint="eastAsia" w:ascii="仿宋" w:hAnsi="仿宋" w:eastAsia="仿宋" w:cs="仿宋"/>
                <w:sz w:val="21"/>
                <w:szCs w:val="21"/>
              </w:rPr>
              <w:t>。</w:t>
            </w:r>
          </w:p>
          <w:p>
            <w:pPr>
              <w:pStyle w:val="3"/>
              <w:keepNext w:val="0"/>
              <w:keepLines w:val="0"/>
              <w:widowControl/>
              <w:suppressLineNumbers w:val="0"/>
              <w:ind w:left="0" w:leftChars="0" w:right="0" w:rightChars="0"/>
              <w:jc w:val="center"/>
              <w:rPr>
                <w:rFonts w:hint="eastAsia" w:ascii="仿宋" w:hAnsi="仿宋" w:eastAsia="仿宋" w:cs="仿宋"/>
                <w:kern w:val="2"/>
                <w:sz w:val="21"/>
                <w:szCs w:val="21"/>
                <w:vertAlign w:val="baseline"/>
                <w:lang w:val="en-US" w:eastAsia="zh-CN" w:bidi="ar-SA"/>
              </w:rPr>
            </w:pPr>
          </w:p>
        </w:tc>
        <w:tc>
          <w:tcPr>
            <w:tcW w:w="4600" w:type="dxa"/>
            <w:vAlign w:val="center"/>
          </w:tcPr>
          <w:p>
            <w:pPr>
              <w:widowControl w:val="0"/>
              <w:numPr>
                <w:ilvl w:val="0"/>
                <w:numId w:val="3"/>
              </w:numPr>
              <w:ind w:left="0" w:leftChars="0" w:firstLine="0" w:firstLineChars="0"/>
              <w:jc w:val="both"/>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林木种子质量管理办法》第二十五条：违反本办法规定，生产、加工、包装、检验和贮藏林木种子的，由县级以上人民政府林业主管部门依照《种子法》的规定处理；《种子法》未规定的，县级以上人民政府林业主管部门可以根据情节给予警告、限期整改，有违法所得的，可以并处违法所得一倍以上三倍以下且不超过三万元的罚款；没有违法所得的，属于非经营活动的，可以并处一千元以下罚款，属于经营活动的，可以并处一万元以下罚款。</w:t>
            </w:r>
          </w:p>
          <w:p>
            <w:pPr>
              <w:widowControl w:val="0"/>
              <w:numPr>
                <w:ilvl w:val="0"/>
                <w:numId w:val="0"/>
              </w:numPr>
              <w:ind w:leftChars="0"/>
              <w:jc w:val="both"/>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lang w:val="en-US" w:eastAsia="zh-CN"/>
              </w:rPr>
              <w:t>2.</w:t>
            </w:r>
            <w:r>
              <w:rPr>
                <w:rFonts w:hint="eastAsia" w:ascii="仿宋" w:hAnsi="仿宋" w:eastAsia="仿宋" w:cs="仿宋"/>
                <w:sz w:val="21"/>
                <w:szCs w:val="21"/>
              </w:rPr>
              <w:t>《行政处罚法》第三十</w:t>
            </w:r>
            <w:r>
              <w:rPr>
                <w:rFonts w:hint="eastAsia" w:ascii="仿宋" w:hAnsi="仿宋" w:eastAsia="仿宋" w:cs="仿宋"/>
                <w:sz w:val="21"/>
                <w:szCs w:val="21"/>
                <w:lang w:val="en-US" w:eastAsia="zh-CN"/>
              </w:rPr>
              <w:t>二</w:t>
            </w:r>
            <w:r>
              <w:rPr>
                <w:rFonts w:hint="eastAsia" w:ascii="仿宋" w:hAnsi="仿宋" w:eastAsia="仿宋" w:cs="仿宋"/>
                <w:sz w:val="21"/>
                <w:szCs w:val="21"/>
              </w:rPr>
              <w:t>条</w:t>
            </w:r>
            <w:r>
              <w:rPr>
                <w:rFonts w:hint="eastAsia" w:ascii="仿宋" w:hAnsi="仿宋" w:eastAsia="仿宋" w:cs="仿宋"/>
                <w:sz w:val="21"/>
                <w:szCs w:val="21"/>
                <w:lang w:eastAsia="zh-CN"/>
              </w:rPr>
              <w:t>。</w:t>
            </w:r>
          </w:p>
        </w:tc>
        <w:tc>
          <w:tcPr>
            <w:tcW w:w="2924" w:type="dxa"/>
            <w:vAlign w:val="center"/>
          </w:tcPr>
          <w:p>
            <w:pPr>
              <w:widowControl w:val="0"/>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rPr>
              <w:t>包容观察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trPr>
        <w:tc>
          <w:tcPr>
            <w:tcW w:w="945" w:type="dxa"/>
            <w:vAlign w:val="center"/>
          </w:tcPr>
          <w:p>
            <w:pPr>
              <w:widowControl w:val="0"/>
              <w:jc w:val="center"/>
              <w:rPr>
                <w:rFonts w:hint="default"/>
                <w:b/>
                <w:bCs/>
                <w:sz w:val="21"/>
                <w:szCs w:val="21"/>
                <w:vertAlign w:val="baseline"/>
                <w:lang w:val="en-US" w:eastAsia="zh-CN"/>
              </w:rPr>
            </w:pPr>
            <w:r>
              <w:rPr>
                <w:rFonts w:hint="eastAsia"/>
                <w:b/>
                <w:bCs/>
                <w:sz w:val="21"/>
                <w:szCs w:val="21"/>
                <w:vertAlign w:val="baseline"/>
                <w:lang w:val="en-US" w:eastAsia="zh-CN"/>
              </w:rPr>
              <w:t>3</w:t>
            </w:r>
          </w:p>
        </w:tc>
        <w:tc>
          <w:tcPr>
            <w:tcW w:w="2865" w:type="dxa"/>
            <w:vAlign w:val="center"/>
          </w:tcPr>
          <w:p>
            <w:pPr>
              <w:widowControl w:val="0"/>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林木种子包装、标签违规行为</w:t>
            </w:r>
          </w:p>
        </w:tc>
        <w:tc>
          <w:tcPr>
            <w:tcW w:w="3285" w:type="dxa"/>
            <w:vAlign w:val="center"/>
          </w:tcPr>
          <w:p>
            <w:pPr>
              <w:widowControl w:val="0"/>
              <w:spacing w:line="360" w:lineRule="exact"/>
              <w:jc w:val="both"/>
              <w:rPr>
                <w:rFonts w:hint="eastAsia" w:ascii="仿宋" w:hAnsi="仿宋" w:eastAsia="仿宋_gb2312" w:cs="仿宋"/>
                <w:b w:val="0"/>
                <w:bCs w:val="0"/>
                <w:color w:val="auto"/>
                <w:sz w:val="21"/>
                <w:szCs w:val="21"/>
                <w:lang w:eastAsia="zh-CN"/>
              </w:rPr>
            </w:pPr>
            <w:r>
              <w:rPr>
                <w:rFonts w:hint="eastAsia" w:ascii="仿宋" w:hAnsi="仿宋" w:eastAsia="仿宋" w:cs="仿宋"/>
                <w:b w:val="0"/>
                <w:bCs w:val="0"/>
                <w:color w:val="auto"/>
                <w:sz w:val="21"/>
                <w:szCs w:val="21"/>
              </w:rPr>
              <w:t>违法</w:t>
            </w:r>
            <w:r>
              <w:rPr>
                <w:rFonts w:hint="eastAsia" w:ascii="仿宋" w:hAnsi="仿宋" w:eastAsia="仿宋" w:cs="仿宋"/>
                <w:b w:val="0"/>
                <w:bCs w:val="0"/>
                <w:color w:val="auto"/>
                <w:sz w:val="21"/>
                <w:szCs w:val="21"/>
                <w:lang w:eastAsia="zh-CN"/>
              </w:rPr>
              <w:t>行为</w:t>
            </w:r>
            <w:r>
              <w:rPr>
                <w:rFonts w:hint="eastAsia" w:ascii="仿宋" w:hAnsi="仿宋" w:eastAsia="仿宋" w:cs="仿宋"/>
                <w:b w:val="0"/>
                <w:bCs w:val="0"/>
                <w:color w:val="auto"/>
                <w:sz w:val="21"/>
                <w:szCs w:val="21"/>
              </w:rPr>
              <w:t>轻微</w:t>
            </w:r>
            <w:r>
              <w:rPr>
                <w:rFonts w:hint="eastAsia" w:ascii="仿宋" w:hAnsi="仿宋" w:eastAsia="仿宋" w:cs="仿宋"/>
                <w:b w:val="0"/>
                <w:bCs w:val="0"/>
                <w:color w:val="auto"/>
                <w:sz w:val="21"/>
                <w:szCs w:val="21"/>
                <w:lang w:eastAsia="zh-CN"/>
              </w:rPr>
              <w:t>（经营种子数量 200公斤以下的），未造成重大危害且主动整改</w:t>
            </w:r>
            <w:r>
              <w:rPr>
                <w:rFonts w:hint="eastAsia" w:ascii="仿宋" w:hAnsi="仿宋" w:eastAsia="仿宋" w:cs="仿宋"/>
                <w:b w:val="0"/>
                <w:bCs w:val="0"/>
                <w:color w:val="auto"/>
                <w:sz w:val="21"/>
                <w:szCs w:val="21"/>
                <w:lang w:val="en-US" w:eastAsia="zh-CN"/>
              </w:rPr>
              <w:t>,</w:t>
            </w:r>
            <w:r>
              <w:rPr>
                <w:rFonts w:hint="eastAsia" w:ascii="仿宋" w:hAnsi="仿宋" w:eastAsia="仿宋" w:cs="仿宋"/>
                <w:b w:val="0"/>
                <w:bCs w:val="0"/>
                <w:color w:val="auto"/>
                <w:sz w:val="21"/>
                <w:szCs w:val="21"/>
                <w:lang w:eastAsia="zh-CN"/>
              </w:rPr>
              <w:t>消除、减轻违法行为危害后果的，并</w:t>
            </w:r>
            <w:r>
              <w:rPr>
                <w:rFonts w:hint="eastAsia" w:ascii="仿宋" w:hAnsi="仿宋" w:eastAsia="仿宋" w:cs="仿宋"/>
                <w:sz w:val="21"/>
                <w:szCs w:val="21"/>
                <w:lang w:eastAsia="zh-CN"/>
              </w:rPr>
              <w:t>主动供述行政机关尚未掌握的违法行为的</w:t>
            </w:r>
            <w:r>
              <w:rPr>
                <w:rFonts w:hint="eastAsia" w:ascii="仿宋" w:hAnsi="仿宋" w:eastAsia="仿宋" w:cs="仿宋"/>
                <w:sz w:val="21"/>
                <w:szCs w:val="21"/>
              </w:rPr>
              <w:t>。</w:t>
            </w:r>
          </w:p>
          <w:p>
            <w:pPr>
              <w:pStyle w:val="3"/>
              <w:keepNext w:val="0"/>
              <w:keepLines w:val="0"/>
              <w:widowControl/>
              <w:suppressLineNumbers w:val="0"/>
              <w:ind w:left="0" w:leftChars="0" w:right="0" w:rightChars="0"/>
              <w:jc w:val="center"/>
              <w:rPr>
                <w:rFonts w:hint="eastAsia" w:ascii="仿宋" w:hAnsi="仿宋" w:eastAsia="仿宋" w:cs="仿宋"/>
                <w:kern w:val="2"/>
                <w:sz w:val="21"/>
                <w:szCs w:val="21"/>
                <w:vertAlign w:val="baseline"/>
                <w:lang w:val="en-US" w:eastAsia="zh-CN" w:bidi="ar-SA"/>
              </w:rPr>
            </w:pPr>
          </w:p>
        </w:tc>
        <w:tc>
          <w:tcPr>
            <w:tcW w:w="4600" w:type="dxa"/>
            <w:vAlign w:val="center"/>
          </w:tcPr>
          <w:p>
            <w:pPr>
              <w:widowControl w:val="0"/>
              <w:numPr>
                <w:ilvl w:val="0"/>
                <w:numId w:val="0"/>
              </w:numPr>
              <w:ind w:left="0" w:leftChars="0" w:firstLine="0" w:firstLineChars="0"/>
              <w:jc w:val="both"/>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1.《中华人民共和国种子法》第七十九条　违反本法第三十六条、第三十八条、第三十九条、第四十条规定，有下列行为之一的，由县级以上人民政府农业农村、林业草原主管部门责令改正，处二千元以上二万元以下罚款：</w:t>
            </w:r>
          </w:p>
          <w:p>
            <w:pPr>
              <w:widowControl w:val="0"/>
              <w:numPr>
                <w:ilvl w:val="0"/>
                <w:numId w:val="0"/>
              </w:numPr>
              <w:ind w:left="0" w:leftChars="0" w:firstLine="0" w:firstLineChars="0"/>
              <w:jc w:val="both"/>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(一)销售的种子应当包装而没有包装的;</w:t>
            </w:r>
          </w:p>
          <w:p>
            <w:pPr>
              <w:widowControl w:val="0"/>
              <w:numPr>
                <w:ilvl w:val="0"/>
                <w:numId w:val="0"/>
              </w:numPr>
              <w:ind w:left="0" w:leftChars="0" w:firstLine="0" w:firstLineChars="0"/>
              <w:jc w:val="both"/>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(二)销售的种子没有使用说明或者标签内容不符合规定的;</w:t>
            </w:r>
          </w:p>
          <w:p>
            <w:pPr>
              <w:widowControl w:val="0"/>
              <w:numPr>
                <w:ilvl w:val="0"/>
                <w:numId w:val="0"/>
              </w:numPr>
              <w:ind w:left="0" w:leftChars="0" w:firstLine="0" w:firstLineChars="0"/>
              <w:jc w:val="both"/>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（三）涂改标签的；</w:t>
            </w:r>
          </w:p>
          <w:p>
            <w:pPr>
              <w:widowControl w:val="0"/>
              <w:numPr>
                <w:ilvl w:val="0"/>
                <w:numId w:val="0"/>
              </w:numPr>
              <w:ind w:left="0" w:leftChars="0" w:firstLine="0" w:firstLineChars="0"/>
              <w:jc w:val="both"/>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（四）未按规定建立、保存种子生产经营档案的；</w:t>
            </w:r>
          </w:p>
          <w:p>
            <w:pPr>
              <w:widowControl w:val="0"/>
              <w:numPr>
                <w:ilvl w:val="0"/>
                <w:numId w:val="0"/>
              </w:numPr>
              <w:ind w:left="0" w:leftChars="0" w:firstLine="0" w:firstLineChars="0"/>
              <w:jc w:val="both"/>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（五）种子生产经营者在异地设立分支机构、专门经营不再分装的包装种子或者受委托生产、代销种子，未按规定备案的。</w:t>
            </w:r>
          </w:p>
          <w:p>
            <w:pPr>
              <w:widowControl w:val="0"/>
              <w:numPr>
                <w:ilvl w:val="0"/>
                <w:numId w:val="0"/>
              </w:numPr>
              <w:ind w:left="0" w:leftChars="0" w:firstLine="0" w:firstLineChars="0"/>
              <w:jc w:val="both"/>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lang w:val="en-US" w:eastAsia="zh-CN"/>
              </w:rPr>
              <w:t>2.</w:t>
            </w:r>
            <w:r>
              <w:rPr>
                <w:rFonts w:hint="eastAsia" w:ascii="仿宋" w:hAnsi="仿宋" w:eastAsia="仿宋" w:cs="仿宋"/>
                <w:sz w:val="21"/>
                <w:szCs w:val="21"/>
              </w:rPr>
              <w:t>《行政处罚法》第三十</w:t>
            </w:r>
            <w:r>
              <w:rPr>
                <w:rFonts w:hint="eastAsia" w:ascii="仿宋" w:hAnsi="仿宋" w:eastAsia="仿宋" w:cs="仿宋"/>
                <w:sz w:val="21"/>
                <w:szCs w:val="21"/>
                <w:lang w:val="en-US" w:eastAsia="zh-CN"/>
              </w:rPr>
              <w:t>二</w:t>
            </w:r>
            <w:r>
              <w:rPr>
                <w:rFonts w:hint="eastAsia" w:ascii="仿宋" w:hAnsi="仿宋" w:eastAsia="仿宋" w:cs="仿宋"/>
                <w:sz w:val="21"/>
                <w:szCs w:val="21"/>
              </w:rPr>
              <w:t>条</w:t>
            </w:r>
            <w:r>
              <w:rPr>
                <w:rFonts w:hint="eastAsia" w:ascii="仿宋" w:hAnsi="仿宋" w:eastAsia="仿宋" w:cs="仿宋"/>
                <w:sz w:val="21"/>
                <w:szCs w:val="21"/>
                <w:lang w:eastAsia="zh-CN"/>
              </w:rPr>
              <w:t>。</w:t>
            </w:r>
          </w:p>
          <w:p>
            <w:pPr>
              <w:widowControl w:val="0"/>
              <w:numPr>
                <w:ilvl w:val="0"/>
                <w:numId w:val="0"/>
              </w:numPr>
              <w:ind w:left="0" w:leftChars="0" w:firstLine="0" w:firstLineChars="0"/>
              <w:jc w:val="both"/>
              <w:rPr>
                <w:rFonts w:hint="eastAsia" w:ascii="仿宋" w:hAnsi="仿宋" w:eastAsia="仿宋" w:cs="仿宋"/>
                <w:kern w:val="2"/>
                <w:sz w:val="21"/>
                <w:szCs w:val="21"/>
                <w:vertAlign w:val="baseline"/>
                <w:lang w:val="en-US" w:eastAsia="zh-CN" w:bidi="ar-SA"/>
              </w:rPr>
            </w:pPr>
          </w:p>
          <w:p>
            <w:pPr>
              <w:widowControl w:val="0"/>
              <w:numPr>
                <w:ilvl w:val="0"/>
                <w:numId w:val="0"/>
              </w:numPr>
              <w:ind w:left="0" w:leftChars="0" w:firstLine="0" w:firstLineChars="0"/>
              <w:jc w:val="both"/>
              <w:rPr>
                <w:rFonts w:hint="eastAsia" w:ascii="仿宋" w:hAnsi="仿宋" w:eastAsia="仿宋" w:cs="仿宋"/>
                <w:kern w:val="2"/>
                <w:sz w:val="21"/>
                <w:szCs w:val="21"/>
                <w:vertAlign w:val="baseline"/>
                <w:lang w:val="en-US" w:eastAsia="zh-CN" w:bidi="ar-SA"/>
              </w:rPr>
            </w:pPr>
          </w:p>
        </w:tc>
        <w:tc>
          <w:tcPr>
            <w:tcW w:w="2924" w:type="dxa"/>
            <w:vAlign w:val="center"/>
          </w:tcPr>
          <w:p>
            <w:pPr>
              <w:widowControl w:val="0"/>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rPr>
              <w:t>包容观察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945" w:type="dxa"/>
            <w:vAlign w:val="center"/>
          </w:tcPr>
          <w:p>
            <w:pPr>
              <w:widowControl w:val="0"/>
              <w:jc w:val="center"/>
              <w:rPr>
                <w:rFonts w:hint="default" w:asciiTheme="minorHAnsi" w:hAnsiTheme="minorHAnsi" w:eastAsiaTheme="minorEastAsia" w:cstheme="minorBidi"/>
                <w:b w:val="0"/>
                <w:bCs w:val="0"/>
                <w:kern w:val="2"/>
                <w:sz w:val="21"/>
                <w:szCs w:val="21"/>
                <w:vertAlign w:val="baseline"/>
                <w:lang w:val="en-US" w:eastAsia="zh-CN" w:bidi="ar-SA"/>
              </w:rPr>
            </w:pPr>
            <w:r>
              <w:rPr>
                <w:rFonts w:hint="eastAsia" w:cstheme="minorBidi"/>
                <w:b w:val="0"/>
                <w:bCs w:val="0"/>
                <w:kern w:val="2"/>
                <w:sz w:val="21"/>
                <w:szCs w:val="21"/>
                <w:vertAlign w:val="baseline"/>
                <w:lang w:val="en-US" w:eastAsia="zh-CN" w:bidi="ar-SA"/>
              </w:rPr>
              <w:t>4</w:t>
            </w:r>
          </w:p>
        </w:tc>
        <w:tc>
          <w:tcPr>
            <w:tcW w:w="2865" w:type="dxa"/>
            <w:vAlign w:val="center"/>
          </w:tcPr>
          <w:p>
            <w:pPr>
              <w:widowControl w:val="0"/>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未使用注册名称销售授权品种</w:t>
            </w:r>
          </w:p>
        </w:tc>
        <w:tc>
          <w:tcPr>
            <w:tcW w:w="3285" w:type="dxa"/>
            <w:vAlign w:val="center"/>
          </w:tcPr>
          <w:p>
            <w:pPr>
              <w:widowControl w:val="0"/>
              <w:spacing w:line="360" w:lineRule="exact"/>
              <w:jc w:val="center"/>
              <w:rPr>
                <w:rFonts w:hint="eastAsia" w:ascii="仿宋" w:hAnsi="仿宋" w:eastAsia="仿宋" w:cs="仿宋"/>
                <w:kern w:val="2"/>
                <w:sz w:val="21"/>
                <w:szCs w:val="21"/>
                <w:vertAlign w:val="baseline"/>
                <w:lang w:val="en-US" w:eastAsia="zh-CN" w:bidi="ar-SA"/>
              </w:rPr>
            </w:pPr>
          </w:p>
          <w:p>
            <w:pPr>
              <w:widowControl w:val="0"/>
              <w:spacing w:line="360" w:lineRule="exact"/>
              <w:jc w:val="center"/>
              <w:rPr>
                <w:rFonts w:hint="eastAsia" w:ascii="仿宋" w:hAnsi="仿宋" w:eastAsia="仿宋_gb2312" w:cs="仿宋"/>
                <w:b w:val="0"/>
                <w:bCs w:val="0"/>
                <w:color w:val="auto"/>
                <w:sz w:val="21"/>
                <w:szCs w:val="21"/>
                <w:lang w:eastAsia="zh-CN"/>
              </w:rPr>
            </w:pPr>
            <w:r>
              <w:rPr>
                <w:rFonts w:hint="eastAsia" w:ascii="仿宋" w:hAnsi="仿宋" w:eastAsia="仿宋" w:cs="仿宋"/>
                <w:kern w:val="2"/>
                <w:sz w:val="21"/>
                <w:szCs w:val="21"/>
                <w:vertAlign w:val="baseline"/>
                <w:lang w:val="en-US" w:eastAsia="zh-CN" w:bidi="ar-SA"/>
              </w:rPr>
              <w:t>违法行为轻微（货值金额在3000元以下的），</w:t>
            </w:r>
            <w:r>
              <w:rPr>
                <w:rFonts w:hint="eastAsia" w:ascii="仿宋" w:hAnsi="仿宋" w:eastAsia="仿宋" w:cs="仿宋"/>
                <w:b w:val="0"/>
                <w:bCs w:val="0"/>
                <w:color w:val="auto"/>
                <w:sz w:val="21"/>
                <w:szCs w:val="21"/>
                <w:lang w:eastAsia="zh-CN"/>
              </w:rPr>
              <w:t>未造成重大危害且主动整改</w:t>
            </w:r>
            <w:r>
              <w:rPr>
                <w:rFonts w:hint="eastAsia" w:ascii="仿宋" w:hAnsi="仿宋" w:eastAsia="仿宋" w:cs="仿宋"/>
                <w:b w:val="0"/>
                <w:bCs w:val="0"/>
                <w:color w:val="auto"/>
                <w:sz w:val="21"/>
                <w:szCs w:val="21"/>
                <w:lang w:val="en-US" w:eastAsia="zh-CN"/>
              </w:rPr>
              <w:t>,</w:t>
            </w:r>
            <w:r>
              <w:rPr>
                <w:rFonts w:hint="eastAsia" w:ascii="仿宋" w:hAnsi="仿宋" w:eastAsia="仿宋" w:cs="仿宋"/>
                <w:b w:val="0"/>
                <w:bCs w:val="0"/>
                <w:color w:val="auto"/>
                <w:sz w:val="21"/>
                <w:szCs w:val="21"/>
                <w:lang w:eastAsia="zh-CN"/>
              </w:rPr>
              <w:t>消除、减轻违法行为危害后果的，并</w:t>
            </w:r>
            <w:r>
              <w:rPr>
                <w:rFonts w:hint="eastAsia" w:ascii="仿宋" w:hAnsi="仿宋" w:eastAsia="仿宋" w:cs="仿宋"/>
                <w:sz w:val="21"/>
                <w:szCs w:val="21"/>
                <w:lang w:eastAsia="zh-CN"/>
              </w:rPr>
              <w:t>主动供述行政机关尚未掌握的违法行为的</w:t>
            </w:r>
            <w:r>
              <w:rPr>
                <w:rFonts w:hint="eastAsia" w:ascii="仿宋" w:hAnsi="仿宋" w:eastAsia="仿宋" w:cs="仿宋"/>
                <w:sz w:val="21"/>
                <w:szCs w:val="21"/>
              </w:rPr>
              <w:t>。</w:t>
            </w:r>
          </w:p>
          <w:p>
            <w:pPr>
              <w:pStyle w:val="3"/>
              <w:keepNext w:val="0"/>
              <w:keepLines w:val="0"/>
              <w:widowControl/>
              <w:suppressLineNumbers w:val="0"/>
              <w:ind w:left="0" w:leftChars="0" w:right="0" w:rightChars="0"/>
              <w:jc w:val="center"/>
              <w:rPr>
                <w:rFonts w:hint="eastAsia" w:ascii="仿宋" w:hAnsi="仿宋" w:eastAsia="仿宋" w:cs="仿宋"/>
                <w:kern w:val="2"/>
                <w:sz w:val="21"/>
                <w:szCs w:val="21"/>
                <w:vertAlign w:val="baseline"/>
                <w:lang w:val="en-US" w:eastAsia="zh-CN" w:bidi="ar-SA"/>
              </w:rPr>
            </w:pPr>
          </w:p>
        </w:tc>
        <w:tc>
          <w:tcPr>
            <w:tcW w:w="4600" w:type="dxa"/>
            <w:vAlign w:val="center"/>
          </w:tcPr>
          <w:p>
            <w:pPr>
              <w:widowControl w:val="0"/>
              <w:numPr>
                <w:ilvl w:val="0"/>
                <w:numId w:val="4"/>
              </w:numPr>
              <w:ind w:left="0" w:leftChars="0" w:firstLine="0" w:firstLine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《中华人民共和国植物新品种保护条例》第四十二条：销售授权品种未使用其注册登记的名称的，由县级以上人民政府农业、林业行政部门依据各自的职权责令限期改正，可以处1000元以下的罚款。</w:t>
            </w:r>
          </w:p>
          <w:p>
            <w:pPr>
              <w:widowControl w:val="0"/>
              <w:numPr>
                <w:ilvl w:val="0"/>
                <w:numId w:val="0"/>
              </w:numPr>
              <w:ind w:leftChars="0"/>
              <w:jc w:val="both"/>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w:t>
            </w:r>
            <w:r>
              <w:rPr>
                <w:rFonts w:hint="eastAsia" w:ascii="仿宋" w:hAnsi="仿宋" w:eastAsia="仿宋" w:cs="仿宋"/>
                <w:sz w:val="21"/>
                <w:szCs w:val="21"/>
              </w:rPr>
              <w:t>《行政处罚法》第三十</w:t>
            </w:r>
            <w:r>
              <w:rPr>
                <w:rFonts w:hint="eastAsia" w:ascii="仿宋" w:hAnsi="仿宋" w:eastAsia="仿宋" w:cs="仿宋"/>
                <w:sz w:val="21"/>
                <w:szCs w:val="21"/>
                <w:lang w:val="en-US" w:eastAsia="zh-CN"/>
              </w:rPr>
              <w:t>二</w:t>
            </w:r>
            <w:r>
              <w:rPr>
                <w:rFonts w:hint="eastAsia" w:ascii="仿宋" w:hAnsi="仿宋" w:eastAsia="仿宋" w:cs="仿宋"/>
                <w:sz w:val="21"/>
                <w:szCs w:val="21"/>
              </w:rPr>
              <w:t>条</w:t>
            </w:r>
            <w:r>
              <w:rPr>
                <w:rFonts w:hint="eastAsia" w:ascii="仿宋" w:hAnsi="仿宋" w:eastAsia="仿宋" w:cs="仿宋"/>
                <w:sz w:val="21"/>
                <w:szCs w:val="21"/>
                <w:lang w:eastAsia="zh-CN"/>
              </w:rPr>
              <w:t>。</w:t>
            </w:r>
          </w:p>
        </w:tc>
        <w:tc>
          <w:tcPr>
            <w:tcW w:w="2924" w:type="dxa"/>
            <w:vAlign w:val="center"/>
          </w:tcPr>
          <w:p>
            <w:pPr>
              <w:widowControl w:val="0"/>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rPr>
              <w:t>包容观察</w:t>
            </w:r>
          </w:p>
        </w:tc>
      </w:tr>
    </w:tbl>
    <w:p>
      <w:pPr>
        <w:jc w:val="both"/>
        <w:rPr>
          <w:rFonts w:hint="eastAsia"/>
          <w:b/>
          <w:bCs/>
          <w:sz w:val="21"/>
          <w:szCs w:val="21"/>
          <w:lang w:val="en-US" w:eastAsia="zh-CN"/>
        </w:rPr>
      </w:pPr>
    </w:p>
    <w:p>
      <w:pPr>
        <w:jc w:val="both"/>
        <w:rPr>
          <w:rFonts w:hint="eastAsia"/>
          <w:b/>
          <w:bCs/>
          <w:sz w:val="21"/>
          <w:szCs w:val="21"/>
          <w:lang w:val="en-US" w:eastAsia="zh-CN"/>
        </w:rPr>
      </w:pPr>
    </w:p>
    <w:p>
      <w:pPr>
        <w:jc w:val="both"/>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说明：</w:t>
      </w:r>
      <w:r>
        <w:rPr>
          <w:rFonts w:hint="eastAsia" w:ascii="仿宋" w:hAnsi="仿宋" w:eastAsia="仿宋" w:cs="仿宋"/>
          <w:b w:val="0"/>
          <w:bCs w:val="0"/>
          <w:sz w:val="24"/>
          <w:szCs w:val="24"/>
          <w:lang w:val="en-US" w:eastAsia="zh-CN"/>
        </w:rPr>
        <w:t>清单实施的注意事项。免处罚、从轻处罚、减轻处罚等“三张清单”，可以作为行政处罚裁量说理的内容，但不得直接作为不予处罚、从轻处罚的法律依据。对未列入“三张清单”的其他轻微违法行为和情形，依据《行政处罚法》和其他法律、法规、规章规定，应当不予行政处罚的，不得给予行政处罚。行政相对人有“三张清单”所列轻微违法行为，同时又存在从重处罚情节的，不适用不予处罚。行政相对人有“三张清单”所列轻微违法行为，不予处罚后又实施该违法行为的，不再适用不予处罚。经责令改正，行政相对人仍未在规定期限内改正或者拒不改正、不及时消除或减轻危害后果的，不适用不予处罚。</w:t>
      </w:r>
    </w:p>
    <w:p>
      <w:pPr>
        <w:jc w:val="both"/>
        <w:rPr>
          <w:rFonts w:hint="eastAsia" w:ascii="仿宋" w:hAnsi="仿宋" w:eastAsia="仿宋" w:cs="仿宋"/>
          <w:b w:val="0"/>
          <w:bCs w:val="0"/>
          <w:sz w:val="24"/>
          <w:szCs w:val="24"/>
          <w:lang w:val="en-US" w:eastAsia="zh-CN"/>
        </w:rPr>
      </w:pPr>
    </w:p>
    <w:p>
      <w:pPr>
        <w:jc w:val="center"/>
        <w:rPr>
          <w:rFonts w:hint="eastAsia" w:ascii="宋体" w:hAnsi="宋体" w:eastAsia="宋体" w:cs="宋体"/>
          <w:b w:val="0"/>
          <w:bCs w:val="0"/>
          <w:sz w:val="36"/>
          <w:szCs w:val="36"/>
          <w:lang w:val="en-US" w:eastAsia="zh-CN"/>
        </w:rPr>
      </w:pPr>
      <w:r>
        <w:rPr>
          <w:rFonts w:hint="eastAsia" w:ascii="宋体" w:hAnsi="宋体" w:eastAsia="宋体" w:cs="宋体"/>
          <w:b/>
          <w:bCs/>
          <w:sz w:val="36"/>
          <w:szCs w:val="36"/>
          <w:lang w:val="en-US" w:eastAsia="zh-CN"/>
        </w:rPr>
        <w:t>2024年桃源县林业局免行政强制清单（4项）</w:t>
      </w:r>
    </w:p>
    <w:p>
      <w:pPr>
        <w:jc w:val="both"/>
        <w:rPr>
          <w:rFonts w:hint="eastAsia" w:ascii="仿宋" w:hAnsi="仿宋" w:eastAsia="仿宋" w:cs="仿宋"/>
          <w:b w:val="0"/>
          <w:bCs w:val="0"/>
          <w:sz w:val="24"/>
          <w:szCs w:val="2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2550"/>
        <w:gridCol w:w="3315"/>
        <w:gridCol w:w="4894"/>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1"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b/>
                <w:bCs/>
                <w:i w:val="0"/>
                <w:iCs w:val="0"/>
                <w:snapToGrid w:val="0"/>
                <w:color w:val="000000"/>
                <w:kern w:val="0"/>
                <w:sz w:val="24"/>
                <w:szCs w:val="24"/>
                <w:u w:val="none"/>
                <w:lang w:val="en-US" w:eastAsia="zh-CN" w:bidi="ar"/>
              </w:rPr>
              <w:t>序号</w:t>
            </w:r>
          </w:p>
        </w:tc>
        <w:tc>
          <w:tcPr>
            <w:tcW w:w="2550"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b/>
                <w:bCs/>
                <w:i w:val="0"/>
                <w:iCs w:val="0"/>
                <w:snapToGrid w:val="0"/>
                <w:color w:val="000000"/>
                <w:kern w:val="0"/>
                <w:sz w:val="24"/>
                <w:szCs w:val="24"/>
                <w:u w:val="none"/>
                <w:lang w:val="en-US" w:eastAsia="zh-CN" w:bidi="ar"/>
              </w:rPr>
              <w:t>事项名称</w:t>
            </w:r>
          </w:p>
        </w:tc>
        <w:tc>
          <w:tcPr>
            <w:tcW w:w="3315"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b/>
                <w:bCs/>
                <w:i w:val="0"/>
                <w:iCs w:val="0"/>
                <w:snapToGrid w:val="0"/>
                <w:color w:val="000000"/>
                <w:kern w:val="0"/>
                <w:sz w:val="24"/>
                <w:szCs w:val="24"/>
                <w:u w:val="none"/>
                <w:lang w:val="en-US" w:eastAsia="zh-CN" w:bidi="ar"/>
              </w:rPr>
              <w:t>免行政强制事项</w:t>
            </w:r>
          </w:p>
        </w:tc>
        <w:tc>
          <w:tcPr>
            <w:tcW w:w="4894"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b/>
                <w:bCs/>
                <w:i w:val="0"/>
                <w:iCs w:val="0"/>
                <w:snapToGrid w:val="0"/>
                <w:color w:val="000000"/>
                <w:kern w:val="0"/>
                <w:sz w:val="24"/>
                <w:szCs w:val="24"/>
                <w:u w:val="none"/>
                <w:lang w:val="en-US" w:eastAsia="zh-CN" w:bidi="ar"/>
              </w:rPr>
              <w:t>免行政强制措施的依据</w:t>
            </w:r>
          </w:p>
        </w:tc>
        <w:tc>
          <w:tcPr>
            <w:tcW w:w="2916" w:type="dxa"/>
            <w:vAlign w:val="center"/>
          </w:tcPr>
          <w:p>
            <w:pPr>
              <w:keepNext w:val="0"/>
              <w:keepLines w:val="0"/>
              <w:widowControl/>
              <w:suppressLineNumbers w:val="0"/>
              <w:jc w:val="center"/>
              <w:textAlignment w:val="center"/>
              <w:rPr>
                <w:rFonts w:hint="eastAsia" w:ascii="仿宋" w:hAnsi="仿宋" w:eastAsia="仿宋" w:cs="仿宋"/>
                <w:b/>
                <w:bCs/>
                <w:sz w:val="24"/>
                <w:szCs w:val="24"/>
                <w:vertAlign w:val="baseline"/>
                <w:lang w:val="en-US" w:eastAsia="zh-CN"/>
              </w:rPr>
            </w:pPr>
            <w:r>
              <w:rPr>
                <w:rFonts w:hint="eastAsia" w:ascii="仿宋" w:hAnsi="仿宋" w:eastAsia="仿宋" w:cs="仿宋"/>
                <w:b/>
                <w:bCs/>
                <w:i w:val="0"/>
                <w:iCs w:val="0"/>
                <w:snapToGrid w:val="0"/>
                <w:color w:val="000000"/>
                <w:kern w:val="0"/>
                <w:sz w:val="24"/>
                <w:szCs w:val="24"/>
                <w:u w:val="none"/>
                <w:lang w:val="en-US" w:eastAsia="zh-CN" w:bidi="ar"/>
              </w:rPr>
              <w:t>配套监管措施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trPr>
        <w:tc>
          <w:tcPr>
            <w:tcW w:w="901" w:type="dxa"/>
            <w:vAlign w:val="center"/>
          </w:tcPr>
          <w:p>
            <w:pPr>
              <w:widowControl w:val="0"/>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w:t>
            </w:r>
          </w:p>
        </w:tc>
        <w:tc>
          <w:tcPr>
            <w:tcW w:w="2550" w:type="dxa"/>
            <w:vAlign w:val="center"/>
          </w:tcPr>
          <w:p>
            <w:pPr>
              <w:widowControl w:val="0"/>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非法收购、加工、运输明知是非法来源的林木</w:t>
            </w:r>
          </w:p>
        </w:tc>
        <w:tc>
          <w:tcPr>
            <w:tcW w:w="3315" w:type="dxa"/>
            <w:vAlign w:val="center"/>
          </w:tcPr>
          <w:p>
            <w:pPr>
              <w:widowControl w:val="0"/>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扣押非法运输明知是非法来源的林木的运输工具，</w:t>
            </w:r>
            <w:r>
              <w:rPr>
                <w:rFonts w:hint="eastAsia" w:ascii="仿宋" w:hAnsi="仿宋" w:eastAsia="仿宋" w:cs="仿宋"/>
                <w:i w:val="0"/>
                <w:iCs w:val="0"/>
                <w:caps w:val="0"/>
                <w:color w:val="333333"/>
                <w:spacing w:val="0"/>
                <w:sz w:val="21"/>
                <w:szCs w:val="21"/>
                <w:shd w:val="clear" w:fill="FFFFFF"/>
              </w:rPr>
              <w:t>查封生产经营活动的</w:t>
            </w:r>
            <w:r>
              <w:rPr>
                <w:rFonts w:hint="eastAsia" w:ascii="仿宋" w:hAnsi="仿宋" w:eastAsia="仿宋" w:cs="仿宋"/>
                <w:i w:val="0"/>
                <w:iCs w:val="0"/>
                <w:caps w:val="0"/>
                <w:color w:val="333333"/>
                <w:spacing w:val="0"/>
                <w:sz w:val="21"/>
                <w:szCs w:val="21"/>
                <w:shd w:val="clear" w:fill="FFFFFF"/>
                <w:lang w:eastAsia="zh-CN"/>
              </w:rPr>
              <w:t>设备和</w:t>
            </w:r>
            <w:r>
              <w:rPr>
                <w:rFonts w:hint="eastAsia" w:ascii="仿宋" w:hAnsi="仿宋" w:eastAsia="仿宋" w:cs="仿宋"/>
                <w:i w:val="0"/>
                <w:iCs w:val="0"/>
                <w:caps w:val="0"/>
                <w:color w:val="333333"/>
                <w:spacing w:val="0"/>
                <w:sz w:val="21"/>
                <w:szCs w:val="21"/>
                <w:shd w:val="clear" w:fill="FFFFFF"/>
              </w:rPr>
              <w:t>场所</w:t>
            </w:r>
          </w:p>
        </w:tc>
        <w:tc>
          <w:tcPr>
            <w:tcW w:w="4894" w:type="dxa"/>
            <w:vAlign w:val="center"/>
          </w:tcPr>
          <w:p>
            <w:pPr>
              <w:widowControl w:val="0"/>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《优化营商环境条例》第五十九条　行政执法中应当推广运用说服教育、劝导示范、行政指导等非强制性手段，依法慎重实施行政强制。采用非强制性手段能够达到行政管理目的的，不得实施行政强制；违法行为情节轻微或者社会危害较小的，可以不实施行政强制；确需实施行政强制的，应当尽可能减少对市场主体正常生产经营活动的影响。</w:t>
            </w:r>
            <w:r>
              <w:rPr>
                <w:rFonts w:hint="eastAsia" w:ascii="仿宋" w:hAnsi="仿宋" w:eastAsia="仿宋" w:cs="仿宋"/>
                <w:color w:val="333333"/>
                <w:sz w:val="21"/>
                <w:szCs w:val="21"/>
                <w:shd w:val="clear" w:fill="FFFFFF"/>
                <w:lang w:eastAsia="zh-CN"/>
              </w:rPr>
              <w:t>《中华人民共和国行政强制法》</w:t>
            </w:r>
            <w:r>
              <w:rPr>
                <w:rFonts w:hint="eastAsia" w:ascii="仿宋" w:hAnsi="仿宋" w:eastAsia="仿宋" w:cs="仿宋"/>
                <w:color w:val="333333"/>
                <w:sz w:val="21"/>
                <w:szCs w:val="21"/>
                <w:shd w:val="clear" w:fill="FFFFFF"/>
              </w:rPr>
              <w:t xml:space="preserve">第五条 </w:t>
            </w:r>
            <w:r>
              <w:rPr>
                <w:rFonts w:hint="eastAsia" w:ascii="仿宋" w:hAnsi="仿宋" w:eastAsia="仿宋" w:cs="仿宋"/>
                <w:b w:val="0"/>
                <w:bCs w:val="0"/>
                <w:sz w:val="21"/>
                <w:szCs w:val="21"/>
                <w:vertAlign w:val="baseline"/>
                <w:lang w:val="en-US" w:eastAsia="zh-CN"/>
              </w:rPr>
              <w:t>采用非强制性手段能够达到行政管理目的的，不得实施行政强制；违法行为情节轻微或者社会危害较小的，可以不实施行政强制。</w:t>
            </w:r>
          </w:p>
        </w:tc>
        <w:tc>
          <w:tcPr>
            <w:tcW w:w="2916" w:type="dxa"/>
            <w:vAlign w:val="center"/>
          </w:tcPr>
          <w:p>
            <w:pPr>
              <w:widowControl w:val="0"/>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加大林草行业法律法规宣传力度。2.加强日常监管，推广运用说服教育、劝导示范等方式积极宣传指导。3.利用“双随机、一公开”等监管方式开展日常监管及普法工作，规范各类涉林草行为。4.加强信用监管，建立企业信用档案并依法向社会公开，依法依规对失信主体开展失信惩戒。5.强化社会监督，公布举报电话，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trPr>
        <w:tc>
          <w:tcPr>
            <w:tcW w:w="901" w:type="dxa"/>
            <w:vAlign w:val="center"/>
          </w:tcPr>
          <w:p>
            <w:pPr>
              <w:widowControl w:val="0"/>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w:t>
            </w:r>
          </w:p>
        </w:tc>
        <w:tc>
          <w:tcPr>
            <w:tcW w:w="2550" w:type="dxa"/>
            <w:vAlign w:val="center"/>
          </w:tcPr>
          <w:p>
            <w:pPr>
              <w:widowControl w:val="0"/>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未按规定建立、保存林木种子生产经营档案</w:t>
            </w:r>
          </w:p>
        </w:tc>
        <w:tc>
          <w:tcPr>
            <w:tcW w:w="3315"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firstLineChars="200"/>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sz w:val="21"/>
                <w:szCs w:val="21"/>
                <w:shd w:val="clear" w:fill="FFFFFF"/>
              </w:rPr>
              <w:t>查封生产经营活动的场所</w:t>
            </w:r>
          </w:p>
          <w:p>
            <w:pPr>
              <w:widowControl w:val="0"/>
              <w:jc w:val="center"/>
              <w:rPr>
                <w:rFonts w:hint="eastAsia" w:ascii="仿宋" w:hAnsi="仿宋" w:eastAsia="仿宋" w:cs="仿宋"/>
                <w:b w:val="0"/>
                <w:bCs w:val="0"/>
                <w:sz w:val="21"/>
                <w:szCs w:val="21"/>
                <w:vertAlign w:val="baseline"/>
                <w:lang w:val="en-US" w:eastAsia="zh-CN"/>
              </w:rPr>
            </w:pPr>
          </w:p>
        </w:tc>
        <w:tc>
          <w:tcPr>
            <w:tcW w:w="4894" w:type="dxa"/>
            <w:vAlign w:val="center"/>
          </w:tcPr>
          <w:p>
            <w:pPr>
              <w:widowControl w:val="0"/>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《优化营商环境条例》第五十九条　行政执法中应当推广运用说服教育、劝导示范、行政指导等非强制性手段，依法慎重实施行政强制。采用非强制性手段能够达到行政管理目的的，不得实施行政强制；违法行为情节轻微或者社会危害较小的，可以不实施行政强制；确需实施行政强制的，应当尽可能减少对市场主体正常生产经营活动的影响。</w:t>
            </w:r>
            <w:r>
              <w:rPr>
                <w:rFonts w:hint="eastAsia" w:ascii="仿宋" w:hAnsi="仿宋" w:eastAsia="仿宋" w:cs="仿宋"/>
                <w:color w:val="333333"/>
                <w:sz w:val="21"/>
                <w:szCs w:val="21"/>
                <w:shd w:val="clear" w:fill="FFFFFF"/>
                <w:lang w:eastAsia="zh-CN"/>
              </w:rPr>
              <w:t>《中华人民共和国行政强制法》</w:t>
            </w:r>
            <w:r>
              <w:rPr>
                <w:rFonts w:hint="eastAsia" w:ascii="仿宋" w:hAnsi="仿宋" w:eastAsia="仿宋" w:cs="仿宋"/>
                <w:color w:val="333333"/>
                <w:sz w:val="21"/>
                <w:szCs w:val="21"/>
                <w:shd w:val="clear" w:fill="FFFFFF"/>
              </w:rPr>
              <w:t xml:space="preserve">第五条 </w:t>
            </w:r>
            <w:r>
              <w:rPr>
                <w:rFonts w:hint="eastAsia" w:ascii="仿宋" w:hAnsi="仿宋" w:eastAsia="仿宋" w:cs="仿宋"/>
                <w:b w:val="0"/>
                <w:bCs w:val="0"/>
                <w:sz w:val="21"/>
                <w:szCs w:val="21"/>
                <w:vertAlign w:val="baseline"/>
                <w:lang w:val="en-US" w:eastAsia="zh-CN"/>
              </w:rPr>
              <w:t>采用非强制性手段能够达到行政管理目的的，不得实施行政强制；违法行为情节轻微或者社会危害较小的，可以不实施行政强制。</w:t>
            </w:r>
          </w:p>
        </w:tc>
        <w:tc>
          <w:tcPr>
            <w:tcW w:w="2916" w:type="dxa"/>
            <w:vAlign w:val="center"/>
          </w:tcPr>
          <w:p>
            <w:pPr>
              <w:widowControl w:val="0"/>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加大林草行业法律法规宣传力度。2.加强日常监管，推广运用说服教育、劝导示范等方式积极宣传指导。3.利用“双随机、一公开”等监管方式开展日常监管及普法工作，规范各类涉林草行为。4.加强信用监管，建立企业信用档案并依法向社会公开，依法依规对失信主体开展失信惩戒。5.强化社会监督，公布举报电话，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901" w:type="dxa"/>
            <w:vAlign w:val="center"/>
          </w:tcPr>
          <w:p>
            <w:pPr>
              <w:widowControl w:val="0"/>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w:t>
            </w:r>
          </w:p>
        </w:tc>
        <w:tc>
          <w:tcPr>
            <w:tcW w:w="2550" w:type="dxa"/>
            <w:vAlign w:val="center"/>
          </w:tcPr>
          <w:p>
            <w:pPr>
              <w:widowControl w:val="0"/>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 xml:space="preserve"> 生产经营者未依法备案</w:t>
            </w:r>
          </w:p>
        </w:tc>
        <w:tc>
          <w:tcPr>
            <w:tcW w:w="3315" w:type="dxa"/>
            <w:vAlign w:val="center"/>
          </w:tcPr>
          <w:p>
            <w:pPr>
              <w:widowControl w:val="0"/>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查封、扣押有证据证明未按规定备案的种子，以及用于违法生产经营的工具、设备及运输工具、生产经营活动的场所等</w:t>
            </w:r>
          </w:p>
          <w:p>
            <w:pPr>
              <w:widowControl w:val="0"/>
              <w:jc w:val="center"/>
              <w:rPr>
                <w:rFonts w:hint="eastAsia" w:ascii="仿宋" w:hAnsi="仿宋" w:eastAsia="仿宋" w:cs="仿宋"/>
                <w:b w:val="0"/>
                <w:bCs w:val="0"/>
                <w:sz w:val="21"/>
                <w:szCs w:val="21"/>
                <w:vertAlign w:val="baseline"/>
                <w:lang w:val="en-US" w:eastAsia="zh-CN"/>
              </w:rPr>
            </w:pPr>
          </w:p>
          <w:p>
            <w:pPr>
              <w:widowControl w:val="0"/>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　</w:t>
            </w:r>
          </w:p>
        </w:tc>
        <w:tc>
          <w:tcPr>
            <w:tcW w:w="4894" w:type="dxa"/>
            <w:vAlign w:val="center"/>
          </w:tcPr>
          <w:p>
            <w:pPr>
              <w:widowControl w:val="0"/>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《优化营商环境条例》第五十九条　行政执法中应当推广运用说服教育、劝导示范、行政指导等非强制性手段，依法慎重实施行政强制。采用非强制性手段能够达到行政管理目的的，不得实施行政强制；违法行为情节轻微或者社会危害较小的，可以不实施行政强制；确需实施行政强制的，应当尽可能减少对市场主体正常生产经营活动的影响。</w:t>
            </w:r>
            <w:r>
              <w:rPr>
                <w:rFonts w:hint="eastAsia" w:ascii="仿宋" w:hAnsi="仿宋" w:eastAsia="仿宋" w:cs="仿宋"/>
                <w:color w:val="333333"/>
                <w:sz w:val="21"/>
                <w:szCs w:val="21"/>
                <w:shd w:val="clear" w:fill="FFFFFF"/>
                <w:lang w:eastAsia="zh-CN"/>
              </w:rPr>
              <w:t>《中华人民共和国行政强制法》</w:t>
            </w:r>
            <w:r>
              <w:rPr>
                <w:rFonts w:hint="eastAsia" w:ascii="仿宋" w:hAnsi="仿宋" w:eastAsia="仿宋" w:cs="仿宋"/>
                <w:color w:val="333333"/>
                <w:sz w:val="21"/>
                <w:szCs w:val="21"/>
                <w:shd w:val="clear" w:fill="FFFFFF"/>
              </w:rPr>
              <w:t xml:space="preserve">第五条 </w:t>
            </w:r>
            <w:r>
              <w:rPr>
                <w:rFonts w:hint="eastAsia" w:ascii="仿宋" w:hAnsi="仿宋" w:eastAsia="仿宋" w:cs="仿宋"/>
                <w:b w:val="0"/>
                <w:bCs w:val="0"/>
                <w:sz w:val="21"/>
                <w:szCs w:val="21"/>
                <w:vertAlign w:val="baseline"/>
                <w:lang w:val="en-US" w:eastAsia="zh-CN"/>
              </w:rPr>
              <w:t>采用非强制性手段能够达到行政管理目的的，不得实施行政强制；违法行为情节轻微或者社会危害较小的，可以不实施行政强制。</w:t>
            </w:r>
          </w:p>
        </w:tc>
        <w:tc>
          <w:tcPr>
            <w:tcW w:w="2916" w:type="dxa"/>
            <w:vAlign w:val="center"/>
          </w:tcPr>
          <w:p>
            <w:pPr>
              <w:widowControl w:val="0"/>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加大林草行业法律法规宣传力度。2.加强日常监管，推广运用说服教育、劝导示范等方式积极宣传指导。3.利用“双随机、一公开”等监管方式开展日常监管及普法工作，规范各类涉林草行为。4.加强信用监管，建立企业信用档案并依法向社会公开，依法依规对失信主体开展失信惩戒。5.强化社会监督，公布举报电话，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901" w:type="dxa"/>
            <w:vAlign w:val="center"/>
          </w:tcPr>
          <w:p>
            <w:pPr>
              <w:widowControl w:val="0"/>
              <w:jc w:val="center"/>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4</w:t>
            </w:r>
          </w:p>
        </w:tc>
        <w:tc>
          <w:tcPr>
            <w:tcW w:w="2550" w:type="dxa"/>
            <w:vAlign w:val="center"/>
          </w:tcPr>
          <w:p>
            <w:pPr>
              <w:widowControl w:val="0"/>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未按规定包装、标识食用林产品</w:t>
            </w:r>
          </w:p>
        </w:tc>
        <w:tc>
          <w:tcPr>
            <w:tcW w:w="3315" w:type="dxa"/>
            <w:vAlign w:val="center"/>
          </w:tcPr>
          <w:p>
            <w:pPr>
              <w:widowControl w:val="0"/>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查封、扣押有证据证明未按规定包装、标识食用林产品，以及相关工具、设备及运输工具、生产经营活动的场所等</w:t>
            </w:r>
          </w:p>
          <w:p>
            <w:pPr>
              <w:widowControl w:val="0"/>
              <w:jc w:val="center"/>
              <w:rPr>
                <w:rFonts w:hint="eastAsia" w:ascii="仿宋" w:hAnsi="仿宋" w:eastAsia="仿宋" w:cs="仿宋"/>
                <w:b w:val="0"/>
                <w:bCs w:val="0"/>
                <w:sz w:val="21"/>
                <w:szCs w:val="21"/>
                <w:vertAlign w:val="baseline"/>
                <w:lang w:val="en-US" w:eastAsia="zh-CN"/>
              </w:rPr>
            </w:pPr>
          </w:p>
          <w:p>
            <w:pPr>
              <w:widowControl w:val="0"/>
              <w:jc w:val="center"/>
              <w:rPr>
                <w:rFonts w:hint="eastAsia" w:ascii="仿宋" w:hAnsi="仿宋" w:eastAsia="仿宋" w:cs="仿宋"/>
                <w:b w:val="0"/>
                <w:bCs w:val="0"/>
                <w:sz w:val="21"/>
                <w:szCs w:val="21"/>
                <w:vertAlign w:val="baseline"/>
                <w:lang w:val="en-US" w:eastAsia="zh-CN"/>
              </w:rPr>
            </w:pPr>
          </w:p>
        </w:tc>
        <w:tc>
          <w:tcPr>
            <w:tcW w:w="4894" w:type="dxa"/>
            <w:vAlign w:val="center"/>
          </w:tcPr>
          <w:p>
            <w:pPr>
              <w:widowControl w:val="0"/>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《优化营商环境条例》第五十九条　行政执法中应当推广运用说服教育、劝导示范、行政指导等非强制性手段，依法慎重实施行政强制。采用非强制性手段能够达到行政管理目的的，不得实施行政强制；违法行为情节轻微或者社会危害较小的，可以不实施行政强制；确需实施行政强制的，应当尽可能减少对市场主体正常生产经营活动的影响。</w:t>
            </w:r>
            <w:r>
              <w:rPr>
                <w:rFonts w:hint="eastAsia" w:ascii="仿宋" w:hAnsi="仿宋" w:eastAsia="仿宋" w:cs="仿宋"/>
                <w:color w:val="333333"/>
                <w:sz w:val="21"/>
                <w:szCs w:val="21"/>
                <w:shd w:val="clear" w:fill="FFFFFF"/>
                <w:lang w:eastAsia="zh-CN"/>
              </w:rPr>
              <w:t>《中华人民共和国行政强制法》</w:t>
            </w:r>
            <w:r>
              <w:rPr>
                <w:rFonts w:hint="eastAsia" w:ascii="仿宋" w:hAnsi="仿宋" w:eastAsia="仿宋" w:cs="仿宋"/>
                <w:color w:val="333333"/>
                <w:sz w:val="21"/>
                <w:szCs w:val="21"/>
                <w:shd w:val="clear" w:fill="FFFFFF"/>
              </w:rPr>
              <w:t xml:space="preserve">第五条 </w:t>
            </w:r>
            <w:r>
              <w:rPr>
                <w:rFonts w:hint="eastAsia" w:ascii="仿宋" w:hAnsi="仿宋" w:eastAsia="仿宋" w:cs="仿宋"/>
                <w:b w:val="0"/>
                <w:bCs w:val="0"/>
                <w:sz w:val="21"/>
                <w:szCs w:val="21"/>
                <w:vertAlign w:val="baseline"/>
                <w:lang w:val="en-US" w:eastAsia="zh-CN"/>
              </w:rPr>
              <w:t>采用非强制性手段能够达到行政管理目的的，不得实施行政强制；违法行为情节轻微或者社会危害较小的，可以不实施行政强制。</w:t>
            </w:r>
          </w:p>
        </w:tc>
        <w:tc>
          <w:tcPr>
            <w:tcW w:w="2916" w:type="dxa"/>
            <w:vAlign w:val="center"/>
          </w:tcPr>
          <w:p>
            <w:pPr>
              <w:widowControl w:val="0"/>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加大林草行业法律法规宣传力度。2.加强日常监管，推广运用说服教育、劝导示范等方式积极宣传指导。3.利用“双随机、一公开”等监管方式开展日常监管及普法工作，规范各类涉林草行为。4.加强信用监管，建立企业信用档案并依法向社会公开，依法依规对失信主体开展失信惩戒。5.强化社会监督，公布举报电话，及时处理投诉举报。</w:t>
            </w:r>
          </w:p>
        </w:tc>
      </w:tr>
    </w:tbl>
    <w:p>
      <w:pPr>
        <w:jc w:val="both"/>
        <w:rPr>
          <w:rFonts w:hint="eastAsia" w:ascii="仿宋" w:hAnsi="仿宋" w:eastAsia="仿宋" w:cs="仿宋"/>
          <w:b w:val="0"/>
          <w:bCs w:val="0"/>
          <w:sz w:val="21"/>
          <w:szCs w:val="21"/>
          <w:lang w:val="en-US" w:eastAsia="zh-CN"/>
        </w:rPr>
      </w:pPr>
    </w:p>
    <w:p>
      <w:pPr>
        <w:rPr>
          <w:rFonts w:hint="eastAsia" w:ascii="仿宋" w:hAnsi="仿宋" w:eastAsia="仿宋" w:cs="仿宋"/>
          <w:b/>
          <w:bCs/>
          <w:sz w:val="21"/>
          <w:lang w:eastAsia="zh-CN"/>
        </w:rPr>
      </w:pPr>
      <w:r>
        <w:rPr>
          <w:rFonts w:hint="eastAsia" w:ascii="仿宋" w:hAnsi="仿宋" w:eastAsia="仿宋" w:cs="仿宋"/>
          <w:b/>
          <w:bCs/>
          <w:sz w:val="21"/>
          <w:lang w:eastAsia="zh-CN"/>
        </w:rPr>
        <w:t>备注：一、具有以下情形之一的，不得适用《免行政强制清单清单》：</w:t>
      </w:r>
    </w:p>
    <w:p>
      <w:pPr>
        <w:rPr>
          <w:rFonts w:hint="eastAsia" w:ascii="仿宋" w:hAnsi="仿宋" w:eastAsia="仿宋" w:cs="仿宋"/>
          <w:sz w:val="21"/>
          <w:lang w:eastAsia="zh-CN"/>
        </w:rPr>
      </w:pPr>
      <w:r>
        <w:rPr>
          <w:rFonts w:hint="eastAsia" w:ascii="仿宋" w:hAnsi="仿宋" w:eastAsia="仿宋" w:cs="仿宋"/>
          <w:sz w:val="21"/>
          <w:lang w:eastAsia="zh-CN"/>
        </w:rPr>
        <w:t>1.当事人未及时采取避免危害发生、控制危害扩大的补救措施的；</w:t>
      </w:r>
    </w:p>
    <w:p>
      <w:pPr>
        <w:numPr>
          <w:ilvl w:val="0"/>
          <w:numId w:val="0"/>
        </w:numPr>
        <w:ind w:leftChars="0"/>
        <w:rPr>
          <w:rFonts w:hint="eastAsia" w:ascii="仿宋" w:hAnsi="仿宋" w:eastAsia="仿宋" w:cs="仿宋"/>
          <w:sz w:val="21"/>
          <w:lang w:eastAsia="zh-CN"/>
        </w:rPr>
      </w:pPr>
      <w:r>
        <w:rPr>
          <w:rFonts w:hint="eastAsia" w:ascii="仿宋" w:hAnsi="仿宋" w:eastAsia="仿宋" w:cs="仿宋"/>
          <w:sz w:val="21"/>
          <w:lang w:val="en-US" w:eastAsia="zh-CN"/>
        </w:rPr>
        <w:t>2.</w:t>
      </w:r>
      <w:r>
        <w:rPr>
          <w:rFonts w:hint="eastAsia" w:ascii="仿宋" w:hAnsi="仿宋" w:eastAsia="仿宋" w:cs="仿宋"/>
          <w:sz w:val="21"/>
          <w:lang w:eastAsia="zh-CN"/>
        </w:rPr>
        <w:t>当事人拒不主动改正违法行为，或责令改正期限届满后仍未改正违法行为的；</w:t>
      </w:r>
    </w:p>
    <w:p>
      <w:pPr>
        <w:numPr>
          <w:ilvl w:val="0"/>
          <w:numId w:val="0"/>
        </w:numPr>
        <w:ind w:leftChars="0"/>
        <w:rPr>
          <w:rFonts w:hint="eastAsia" w:ascii="仿宋" w:hAnsi="仿宋" w:eastAsia="仿宋" w:cs="仿宋"/>
          <w:sz w:val="21"/>
          <w:lang w:eastAsia="zh-CN"/>
        </w:rPr>
      </w:pPr>
      <w:r>
        <w:rPr>
          <w:rFonts w:hint="eastAsia" w:ascii="仿宋" w:hAnsi="仿宋" w:eastAsia="仿宋" w:cs="仿宋"/>
          <w:sz w:val="21"/>
          <w:lang w:val="en-US" w:eastAsia="zh-CN"/>
        </w:rPr>
        <w:t>3.</w:t>
      </w:r>
      <w:r>
        <w:rPr>
          <w:rFonts w:hint="eastAsia" w:ascii="仿宋" w:hAnsi="仿宋" w:eastAsia="仿宋" w:cs="仿宋"/>
          <w:sz w:val="21"/>
        </w:rPr>
        <w:t>受委托实施行政处罚的行政机关代为实施行政强制措施</w:t>
      </w:r>
      <w:r>
        <w:rPr>
          <w:rFonts w:hint="eastAsia" w:ascii="仿宋" w:hAnsi="仿宋" w:eastAsia="仿宋" w:cs="仿宋"/>
          <w:sz w:val="21"/>
          <w:lang w:eastAsia="zh-CN"/>
        </w:rPr>
        <w:t>。</w:t>
      </w:r>
    </w:p>
    <w:p>
      <w:pPr>
        <w:rPr>
          <w:rFonts w:hint="eastAsia" w:ascii="仿宋" w:hAnsi="仿宋" w:eastAsia="仿宋" w:cs="仿宋"/>
          <w:sz w:val="21"/>
          <w:lang w:eastAsia="zh-CN"/>
        </w:rPr>
      </w:pPr>
      <w:r>
        <w:rPr>
          <w:rFonts w:hint="eastAsia" w:ascii="仿宋" w:hAnsi="仿宋" w:eastAsia="仿宋" w:cs="仿宋"/>
          <w:sz w:val="21"/>
          <w:lang w:eastAsia="zh-CN"/>
        </w:rPr>
        <w:t>二、例外规定：对初步判断符合不予行政处罚的违法行为，原则上可以不予实施行政强制措施。但为了制止违法行为、防止证据损毁、避免危害发生、控制危险扩大的，仍可以实施行政强制措施。</w:t>
      </w:r>
    </w:p>
    <w:p>
      <w:pPr>
        <w:rPr>
          <w:rFonts w:hint="eastAsia" w:ascii="仿宋" w:hAnsi="仿宋" w:eastAsia="仿宋" w:cs="仿宋"/>
          <w:sz w:val="21"/>
          <w:lang w:eastAsia="zh-CN"/>
        </w:rPr>
      </w:pPr>
      <w:r>
        <w:rPr>
          <w:rFonts w:hint="eastAsia" w:ascii="仿宋" w:hAnsi="仿宋" w:eastAsia="仿宋" w:cs="仿宋"/>
          <w:sz w:val="21"/>
          <w:lang w:eastAsia="zh-CN"/>
        </w:rPr>
        <w:t>三、教育和强制相结合原则：对适用《免行政强制清单清单》的违法行为不予实施行政强制措施，但要通过提出整改要求、约谈负责人等方式对违法主体进行教育，实现行政执法的法律效果和社会效果相统一。</w:t>
      </w:r>
    </w:p>
    <w:p>
      <w:pPr>
        <w:numPr>
          <w:ilvl w:val="0"/>
          <w:numId w:val="0"/>
        </w:numPr>
        <w:ind w:leftChars="0"/>
        <w:rPr>
          <w:rFonts w:hint="eastAsia" w:ascii="仿宋" w:hAnsi="仿宋" w:eastAsia="仿宋" w:cs="仿宋"/>
          <w:sz w:val="21"/>
          <w:lang w:eastAsia="zh-CN"/>
        </w:rPr>
      </w:pPr>
    </w:p>
    <w:p>
      <w:pPr>
        <w:rPr>
          <w:rFonts w:hint="eastAsia" w:ascii="仿宋" w:hAnsi="仿宋" w:eastAsia="仿宋" w:cs="仿宋"/>
          <w:sz w:val="21"/>
          <w:lang w:eastAsia="zh-CN"/>
        </w:rPr>
      </w:pPr>
    </w:p>
    <w:p>
      <w:pPr>
        <w:rPr>
          <w:rFonts w:hint="eastAsia" w:ascii="仿宋" w:hAnsi="仿宋" w:eastAsia="仿宋" w:cs="仿宋"/>
          <w:sz w:val="21"/>
          <w:lang w:eastAsia="zh-CN"/>
        </w:rPr>
      </w:pPr>
    </w:p>
    <w:p>
      <w:pPr>
        <w:rPr>
          <w:rFonts w:hint="eastAsia" w:ascii="仿宋" w:hAnsi="仿宋" w:eastAsia="仿宋" w:cs="仿宋"/>
          <w:sz w:val="21"/>
          <w:lang w:eastAsia="zh-CN"/>
        </w:rPr>
      </w:pPr>
    </w:p>
    <w:p>
      <w:pPr>
        <w:rPr>
          <w:rFonts w:hint="eastAsia" w:ascii="仿宋" w:hAnsi="仿宋" w:eastAsia="仿宋" w:cs="仿宋"/>
          <w:sz w:val="21"/>
        </w:rPr>
      </w:pPr>
    </w:p>
    <w:sectPr>
      <w:footerReference r:id="rId8" w:type="default"/>
      <w:pgSz w:w="16840" w:h="11900"/>
      <w:pgMar w:top="1011" w:right="1250" w:bottom="1027" w:left="1230" w:header="0" w:footer="68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6347"/>
      <w:rPr>
        <w:rFonts w:ascii="微软雅黑" w:hAnsi="微软雅黑" w:eastAsia="微软雅黑" w:cs="微软雅黑"/>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6347"/>
      <w:rPr>
        <w:rFonts w:ascii="微软雅黑" w:hAnsi="微软雅黑" w:eastAsia="微软雅黑" w:cs="微软雅黑"/>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6347"/>
      <w:rPr>
        <w:rFonts w:ascii="微软雅黑" w:hAnsi="微软雅黑" w:eastAsia="微软雅黑" w:cs="微软雅黑"/>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6347"/>
      <w:rPr>
        <w:rFonts w:ascii="微软雅黑" w:hAnsi="微软雅黑" w:eastAsia="微软雅黑" w:cs="微软雅黑"/>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80B65F"/>
    <w:multiLevelType w:val="singleLevel"/>
    <w:tmpl w:val="B080B65F"/>
    <w:lvl w:ilvl="0" w:tentative="0">
      <w:start w:val="1"/>
      <w:numFmt w:val="decimal"/>
      <w:lvlText w:val="%1."/>
      <w:lvlJc w:val="left"/>
      <w:pPr>
        <w:tabs>
          <w:tab w:val="left" w:pos="312"/>
        </w:tabs>
      </w:pPr>
    </w:lvl>
  </w:abstractNum>
  <w:abstractNum w:abstractNumId="1">
    <w:nsid w:val="B08CD372"/>
    <w:multiLevelType w:val="singleLevel"/>
    <w:tmpl w:val="B08CD372"/>
    <w:lvl w:ilvl="0" w:tentative="0">
      <w:start w:val="1"/>
      <w:numFmt w:val="decimal"/>
      <w:lvlText w:val="%1."/>
      <w:lvlJc w:val="left"/>
      <w:pPr>
        <w:tabs>
          <w:tab w:val="left" w:pos="312"/>
        </w:tabs>
      </w:pPr>
    </w:lvl>
  </w:abstractNum>
  <w:abstractNum w:abstractNumId="2">
    <w:nsid w:val="38103BA6"/>
    <w:multiLevelType w:val="singleLevel"/>
    <w:tmpl w:val="38103BA6"/>
    <w:lvl w:ilvl="0" w:tentative="0">
      <w:start w:val="1"/>
      <w:numFmt w:val="decimal"/>
      <w:suff w:val="nothing"/>
      <w:lvlText w:val="%1、"/>
      <w:lvlJc w:val="left"/>
    </w:lvl>
  </w:abstractNum>
  <w:abstractNum w:abstractNumId="3">
    <w:nsid w:val="4DBFFEF5"/>
    <w:multiLevelType w:val="singleLevel"/>
    <w:tmpl w:val="4DBFFEF5"/>
    <w:lvl w:ilvl="0" w:tentative="0">
      <w:start w:val="1"/>
      <w:numFmt w:val="decimal"/>
      <w:lvlText w:val="%1."/>
      <w:lvlJc w:val="left"/>
      <w:pPr>
        <w:tabs>
          <w:tab w:val="left" w:pos="312"/>
        </w:tabs>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2Y5NmU3MmY5NTFiNTlhZGI0N2NjODkyMmVhZTZmZjMifQ=="/>
    <w:docVar w:name="KSO_WPS_MARK_KEY" w:val="62557368-98cc-4660-b981-43123d30ea34"/>
  </w:docVars>
  <w:rsids>
    <w:rsidRoot w:val="00000000"/>
    <w:rsid w:val="0F4F2F2B"/>
    <w:rsid w:val="2C3F0EDD"/>
    <w:rsid w:val="3FE04321"/>
    <w:rsid w:val="7623798B"/>
    <w:rsid w:val="778A4D72"/>
    <w:rsid w:val="7E5349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bCs/>
    </w:rPr>
  </w:style>
  <w:style w:type="character" w:styleId="8">
    <w:name w:val="FollowedHyperlink"/>
    <w:basedOn w:val="6"/>
    <w:qFormat/>
    <w:uiPriority w:val="0"/>
    <w:rPr>
      <w:color w:val="428BCA"/>
      <w:u w:val="none"/>
    </w:rPr>
  </w:style>
  <w:style w:type="character" w:styleId="9">
    <w:name w:val="HTML Definition"/>
    <w:basedOn w:val="6"/>
    <w:qFormat/>
    <w:uiPriority w:val="0"/>
    <w:rPr>
      <w:i/>
      <w:iCs/>
    </w:rPr>
  </w:style>
  <w:style w:type="character" w:styleId="10">
    <w:name w:val="Hyperlink"/>
    <w:basedOn w:val="6"/>
    <w:qFormat/>
    <w:uiPriority w:val="0"/>
    <w:rPr>
      <w:color w:val="428BCA"/>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Cite"/>
    <w:basedOn w:val="6"/>
    <w:qFormat/>
    <w:uiPriority w:val="0"/>
  </w:style>
  <w:style w:type="character" w:styleId="13">
    <w:name w:val="HTML Keyboard"/>
    <w:basedOn w:val="6"/>
    <w:qFormat/>
    <w:uiPriority w:val="0"/>
    <w:rPr>
      <w:rFonts w:hint="default" w:ascii="Consolas" w:hAnsi="Consolas" w:eastAsia="Consolas" w:cs="Consolas"/>
      <w:color w:val="FFFFFF"/>
      <w:sz w:val="21"/>
      <w:szCs w:val="21"/>
      <w:shd w:val="clear" w:fill="333333"/>
    </w:rPr>
  </w:style>
  <w:style w:type="character" w:styleId="14">
    <w:name w:val="HTML Sample"/>
    <w:basedOn w:val="6"/>
    <w:qFormat/>
    <w:uiPriority w:val="0"/>
    <w:rPr>
      <w:rFonts w:hint="default" w:ascii="Consolas" w:hAnsi="Consolas" w:eastAsia="Consolas" w:cs="Consolas"/>
      <w:sz w:val="21"/>
      <w:szCs w:val="21"/>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仿宋" w:hAnsi="仿宋" w:eastAsia="仿宋" w:cs="仿宋"/>
      <w:sz w:val="24"/>
      <w:szCs w:val="24"/>
      <w:lang w:val="en-US" w:eastAsia="en-US" w:bidi="ar-SA"/>
    </w:rPr>
  </w:style>
  <w:style w:type="character" w:customStyle="1" w:styleId="17">
    <w:name w:val="first-child"/>
    <w:basedOn w:val="6"/>
    <w:qFormat/>
    <w:uiPriority w:val="0"/>
  </w:style>
  <w:style w:type="character" w:customStyle="1" w:styleId="18">
    <w:name w:val="before"/>
    <w:basedOn w:val="6"/>
    <w:qFormat/>
    <w:uiPriority w:val="0"/>
  </w:style>
  <w:style w:type="character" w:customStyle="1" w:styleId="19">
    <w:name w:val="form-label"/>
    <w:basedOn w:val="6"/>
    <w:qFormat/>
    <w:uiPriority w:val="0"/>
  </w:style>
  <w:style w:type="character" w:customStyle="1" w:styleId="20">
    <w:name w:val="layui-this2"/>
    <w:basedOn w:val="6"/>
    <w:qFormat/>
    <w:uiPriority w:val="0"/>
    <w:rPr>
      <w:bdr w:val="single" w:color="EEEEEE" w:sz="6" w:space="0"/>
      <w:shd w:val="clear" w:fill="FFFFFF"/>
    </w:rPr>
  </w:style>
  <w:style w:type="character" w:customStyle="1" w:styleId="21">
    <w:name w:val="hover22"/>
    <w:basedOn w:val="6"/>
    <w:uiPriority w:val="0"/>
    <w:rPr>
      <w:color w:val="FFFFFF"/>
    </w:rPr>
  </w:style>
  <w:style w:type="character" w:customStyle="1" w:styleId="22">
    <w:name w:val="hover23"/>
    <w:basedOn w:val="6"/>
    <w:qFormat/>
    <w:uiPriority w:val="0"/>
    <w:rPr>
      <w:color w:val="5FB878"/>
    </w:rPr>
  </w:style>
  <w:style w:type="character" w:customStyle="1" w:styleId="23">
    <w:name w:val="hover24"/>
    <w:basedOn w:val="6"/>
    <w:qFormat/>
    <w:uiPriority w:val="0"/>
    <w:rPr>
      <w:color w:val="FF7F74"/>
    </w:rPr>
  </w:style>
  <w:style w:type="character" w:customStyle="1" w:styleId="24">
    <w:name w:val="hover25"/>
    <w:basedOn w:val="6"/>
    <w:qFormat/>
    <w:uiPriority w:val="0"/>
    <w:rPr>
      <w:color w:val="5FB878"/>
    </w:rPr>
  </w:style>
  <w:style w:type="character" w:customStyle="1" w:styleId="25">
    <w:name w:val="after"/>
    <w:basedOn w:val="6"/>
    <w:qFormat/>
    <w:uiPriority w:val="0"/>
  </w:style>
  <w:style w:type="character" w:customStyle="1" w:styleId="26">
    <w:name w:val="layui-this"/>
    <w:basedOn w:val="6"/>
    <w:qFormat/>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6002</Words>
  <Characters>6100</Characters>
  <TotalTime>77</TotalTime>
  <ScaleCrop>false</ScaleCrop>
  <LinksUpToDate>false</LinksUpToDate>
  <CharactersWithSpaces>6156</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2022-10-18T15:15:00Z</dcterms:created>
  <dc:creator>wps</dc:creator>
  <cp:lastModifiedBy>珍惜</cp:lastModifiedBy>
  <cp:lastPrinted>2024-03-25T07:54:00Z</cp:lastPrinted>
  <dcterms:modified xsi:type="dcterms:W3CDTF">2024-03-26T01:50:22Z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2024-03-19T17:02:33Z</vt:filetime>
  </property>
  <property fmtid="{D5CDD505-2E9C-101B-9397-08002B2CF9AE}" pid="4" name="KSOProductBuildVer">
    <vt:lpwstr>2052-11.1.0.12763</vt:lpwstr>
  </property>
  <property fmtid="{D5CDD505-2E9C-101B-9397-08002B2CF9AE}" pid="5" name="ICV">
    <vt:lpwstr>A08CFCD5ECE746F3AA230F160C80741F</vt:lpwstr>
  </property>
</Properties>
</file>