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</w:t>
      </w:r>
      <w:r>
        <w:rPr>
          <w:rFonts w:hint="eastAsia" w:eastAsia="方正小标宋_GBK"/>
          <w:sz w:val="52"/>
          <w:szCs w:val="52"/>
          <w:lang w:val="en-US" w:eastAsia="zh-CN"/>
        </w:rPr>
        <w:t>3</w:t>
      </w:r>
      <w:r>
        <w:rPr>
          <w:rFonts w:hint="eastAsia" w:eastAsia="方正小标宋_GBK" w:cs="方正小标宋_GBK"/>
          <w:sz w:val="52"/>
          <w:szCs w:val="52"/>
        </w:rPr>
        <w:t>年度</w:t>
      </w:r>
      <w:r>
        <w:rPr>
          <w:rFonts w:hint="eastAsia" w:eastAsia="方正小标宋_GBK" w:cs="方正小标宋_GBK"/>
          <w:sz w:val="52"/>
          <w:szCs w:val="52"/>
          <w:lang w:eastAsia="zh-CN"/>
        </w:rPr>
        <w:t>青林回族维吾尔族乡人民政府</w:t>
      </w:r>
      <w:r>
        <w:rPr>
          <w:rFonts w:hint="eastAsia" w:eastAsia="方正小标宋_GBK" w:cs="方正小标宋_GBK"/>
          <w:sz w:val="52"/>
          <w:szCs w:val="52"/>
        </w:rPr>
        <w:t>整体支出绩效自评报告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hint="eastAsia" w:eastAsia="仿宋"/>
          <w:sz w:val="32"/>
          <w:szCs w:val="32"/>
          <w:u w:val="single"/>
          <w:lang w:eastAsia="zh-CN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/>
          <w:sz w:val="32"/>
          <w:szCs w:val="32"/>
          <w:lang w:eastAsia="zh-CN"/>
        </w:rPr>
        <w:t>青林回族维吾尔族乡人民政府</w:t>
      </w:r>
    </w:p>
    <w:p>
      <w:pPr>
        <w:spacing w:line="60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10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15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年度青林回维乡整体支出绩效自评报告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林回维乡政府内设机构包括：党政办公室、党建办公室、经济发展办公室（农业农村办公室）、自然资源和生态环境办公室、社会事务办公室（卫生健康办公室）、社会治安和应急管理办公室；下设3中心1站1队：农业综合服务中心、社会事务综合服务中心、政务服务中心、退役军人服务站、综合行政执法大队；13个村（居）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人员构成：截止202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年12月底，青林回维乡核定编制114个，实有编制人数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人，其中核定行政编制40个，机关工勤2个，实有行政人员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人，机关工勤1人。核定事业编制72个，实有6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人：农业综合服务中心核定编制20个，实有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人；社会事务综合服务中心核定编制16个，实有16人；政务服务中心核定编制9个，实有8人；综合行政执法大队核定编制22个，实有1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人；退役军人服务站核定编制5个，实有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（二）单位主要职责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桃源县青林回维乡人民政府系正科级行政机关，办公地址为青林回族维吾尔族乡。本单位主要职责：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1、贯彻执行党和国家的路线、方针、政策和国家法律法规，贯彻执行上级行政机关的决议、命令及同级党委的决定，加强对农业和农村工作的领导，执行乡人民代表大会的决议。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2、对乡人民代表大会及其主席团和上级行政机关负责并报告工作。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3、编制本乡国民经济和社会发展中、长期规划和年度计划，并组织实施；编制并执行财政预算。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4、管理本乡区域经济和社会事业的行政工作。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5、负责本乡内行政执法工作，维护社会秩序，保护公民人身、民主、财产等合法权利，保护经济组织的合法权益。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6、指导、支持和帮助村民委员会开展工作。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负责本行政区域内的民政、计划生育、文化教育、卫生、体育等社会公益事业的综合性工作，维护一切经济单位和个人的正当经济权益，取缔非法经济活动，调解和处理民事经济纠纷，打击刑事犯罪维护社会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9、完成上级政府交办的其他事项。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（三）部门财务情况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年部门整体支出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4684.89</w:t>
      </w:r>
      <w:r>
        <w:rPr>
          <w:rFonts w:hint="eastAsia" w:ascii="仿宋" w:hAnsi="仿宋" w:eastAsia="仿宋" w:cs="仿宋"/>
          <w:sz w:val="32"/>
          <w:szCs w:val="32"/>
        </w:rPr>
        <w:t>万元，年底结转结余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3067.17</w:t>
      </w:r>
      <w:r>
        <w:rPr>
          <w:rFonts w:hint="eastAsia" w:ascii="仿宋" w:hAnsi="仿宋" w:eastAsia="仿宋" w:cs="仿宋"/>
          <w:sz w:val="32"/>
          <w:szCs w:val="32"/>
        </w:rPr>
        <w:t>万元，其中工资福利支出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1140.14</w:t>
      </w:r>
      <w:r>
        <w:rPr>
          <w:rFonts w:hint="eastAsia" w:ascii="仿宋" w:hAnsi="仿宋" w:eastAsia="仿宋" w:cs="仿宋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1358.97</w:t>
      </w:r>
      <w:r>
        <w:rPr>
          <w:rFonts w:hint="eastAsia" w:ascii="仿宋" w:hAnsi="仿宋" w:eastAsia="仿宋" w:cs="仿宋"/>
          <w:sz w:val="32"/>
          <w:szCs w:val="32"/>
        </w:rPr>
        <w:t>万元，对个人和家庭的补助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508.69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，资本性支出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59.36万元。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1617.72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3.年底结转结余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（二）部门预算收支决算情况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年度预算收入金额为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4684.89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万元，具体情况如下：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一般公共预算财政拨款收入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3330.56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政府性基金财政拨款收入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21.9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国有资本性经营财政拨款预算收入0万元。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其他收入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1332.43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上年结转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年度预算支出决算金额为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4684.89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万元，具体情况如下：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1.基本支出：202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年度我乡基本支出3067.17万元，其中工资福利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1140.14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支出万元，占基本支出比例为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50.92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%；一般商品和服务支出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1358.97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万元，占基本支出比例为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47.27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%，对个人和家庭的补助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508.69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万元，占基本支出比例为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1.81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2.项目支出：202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年度我乡项目支出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1617.72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所有开支均按照我单位财务管理制度执行，资金的使用严格把关。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3.年末结转结余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 “三公经费”支出使用和管理情况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年“三公”经费实际支出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4.02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万元，其中公务接待费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3.02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我乡“三公”经费严格按照公务接待管理要求及公务接待经费核准制度，严把支出关，控制接待费用，强化制度执行，切实做好厉行节约工作，全面落实各项管理制度要求，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努力降低行政成本。严格公务接待费、差旅费、会议费和培训费审核审批程序，加强对公务用车的管理，实行限额把关、一支笔审批制度，做到一事一公函、一事一审批、一事一结账，会议费和培训费严格按照年初计划和制度规定的标准执行，“三公”经费较好地控制在预算范围之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、部门绩效目标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（一）部门绩效总目标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（1）奋力冲刺重点项目攻坚，促进乡乡经济发展。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（2）完成基础设施建设与惠民项目资金的管理，道路修扩建、硬化工程、安全饮水工程验等验收合格率达95%。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（3）惠民惠农补贴发放及时率达100%。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（4）加强社会管理，处理好群众性突发事件，做好司法调解工作。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（5）安全生产、秸秆禁烧、森林防火实现“零发生”，做好“底线”工作。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（6）做好农村人居环境整治、厕所革命等乡村振兴工作。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（7）走访慰问困难群众和特殊群体。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（二）202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kern w:val="0"/>
          <w:sz w:val="32"/>
          <w:szCs w:val="32"/>
        </w:rPr>
        <w:t>年度部门绩效目标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 w:cs="仿宋_GB2312"/>
          <w:sz w:val="30"/>
          <w:szCs w:val="30"/>
        </w:rPr>
        <w:t>）产出指标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数量指标。完成道路建设重点项目2个；完成村级道路路灯维修，完成率达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%；完成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堰塘清淤3000立方米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完成乡村振兴重点项目建设6个；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引导企业参加重要展会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②质量指标。各类补贴对象合规率达100%；各类补贴金额准确率达100%；质量达标率100%；安全生产工作达标率100%；党建工作考核达标率100%。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③时效指标。各项工作完成及时率100%。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④成本指标。支出控制率达100%；成本发生规范率达100%。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效益指标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①经济指标。农民收入水平提升达100%。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②社会效益指标。残疾人无障碍通道改造率达100%；雨露计划助学落实率达100%；人居环境整改达标率100%。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③生态效益指标。松线虫除治完成率达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%；完成日常用水保障。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④可持续影响指标。政府服务能力增强；持续促进稳定就业。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满意度指标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①服务对象满意度指标。群众满意度达9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%；企业满意度达95%。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绩效评价工作情况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青林回维乡人民政府制定了部门整体支出绩效评价的工作方案、评价指标，成立了绩效评价工作领导小组、绩效评价工作组，工作主要如下：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(一)核实数据。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年度部门整体支出数据的准确性、真实性进行核实，将202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年度和202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年度部门整体支出情况进行比较分析。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(二)查阅资料。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查阅202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年度预算安排、预算追加资金管理、经费支出、资产管理等相关文件资料和财务凭证。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(三)归纳汇总。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对收集的评价材料结合本单位情况进行综合分析、归纳汇总。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(四)根据评价材料结合各项评价指标进行分析评分。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(五)形成绩效评价自评报告。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综合评价结果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根据部门整体支出绩效评价指标体系，我乡202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年度部门整体支出绩效自评得分是：9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分。部门整体支出绩效评价指标情况详见附件1。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，我乡积极履职，强化管理，较好的完成了年度工作目标。通过加强预算收支管理，不断建立健全内部管理制度，梳理内部管理流程，整体支出管理水平得到提升，各项绩效指标均达到了预期效果。根据年初计划的重点工作，本单位通过对财政资金的使用，取得了如下的绩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1、产业发展。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年，我乡强化产业建设，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大力发展乡村振兴重点民生项目建设，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促进农民增收。加大粮食生产力度，做强做大粮食生产主导产业。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2、社会管理。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是确保安全生产不出事故。集中力量狠抓农用车载客、企业安全生产和校车规范运营等安全生产查处和管理工作，制定了有效的工作方案措施，明确综治工作职责和责任追究制度。加大安全生产宣传力度，制作安全生产警示牌，对道路交通安全、学校食堂餐馆食品卫生安全、地质灾害监测点、防汛安全等进行了不定期的全面大排查、大整治。二是及时调解纠纷，确保无进京、赴省信访人员。认真落实矛盾纠纷排查调处制度，做到重点信访对象有效稳控，无进京、赴省信访发生。纠纷调解及时，调解成功率达100%,无刑事案件发生，治安形势较好。三是全面推进环境整治工作。规范经营门店管理，做到规范有序；切实做好环境整治，将村级环境卫生保洁任务发包到责任人，大大改善了全乡的人居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3、服务民生。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是全面抓好食品卫生、疫情防控工作，推进新型农村合作医疗，深入开展农村大病医疗救助，有效缓解了群众“看病贵、看病难”的问题。二是全面实施乡村振兴战略。实现了全乡13个村（社区）巩固脱贫攻坚成果同乡村振兴有效衔接，加强农村人居环境整治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存在的主要问题及原因分析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因业务水平有限，年初预算的编制支出类别上理解不够，比如基本支出和项目支出，在日常业务操作时容易出错。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预决算项目支出编制需进一步明确、精细化，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应该更加细化地结合本单位的实际情况进行预算编制。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同时项目执行率需进一步提高。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 随着对预、决算编制工作水平要求越来越高，编制数据要求越来越精准、规范；时间紧、任务大；加之现行决算工作与实际账务处理工作的衔接还存在一定差异；会计人员业务明显增加，人员紧缺，加之业务操作水平有限，实际操作中确实感到力不从心 。</w:t>
      </w:r>
    </w:p>
    <w:p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4、所内组织的业务交流较少，与其他财政所沟通少，知识面比较闭塞。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八、有关建议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细化预算编制工作，进一步加强内设机构的预算管理意识，严格按照预算编制的相关制度和要求进行预算编制。全面编制预算项目，优先保障固定性的、相对刚性的费用支出项目，尽量压缩变动性、有控制空间的费用项目，进步提高预算编制的科学性、严谨性和可控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合理安排会计岗位，适当增加会计人员，增强业务知识培训，加强决算工作与账务处理工作衔接。对相关人员加强培训，特别是针对《预算法》《行政事业单位会计制度》等的学习培训，规范部门预算收支核算，切实提高部门预算收支管理水平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4、加强业务交流，促进各单位之间的财政业务学习。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30"/>
          <w:szCs w:val="3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spacing w:line="500" w:lineRule="exact"/>
      </w:pPr>
    </w:p>
    <w:p>
      <w:pPr>
        <w:spacing w:line="500" w:lineRule="exact"/>
      </w:pPr>
      <w:r>
        <w:t xml:space="preserve">    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</w:p>
    <w:p>
      <w:pPr>
        <w:pStyle w:val="9"/>
        <w:spacing w:line="500" w:lineRule="exact"/>
        <w:rPr>
          <w:rFonts w:eastAsia="仿宋_GB2312"/>
          <w:sz w:val="30"/>
          <w:szCs w:val="30"/>
        </w:rPr>
      </w:pPr>
    </w:p>
    <w:p>
      <w:pPr>
        <w:pStyle w:val="9"/>
        <w:spacing w:line="500" w:lineRule="exact"/>
        <w:rPr>
          <w:rFonts w:eastAsia="仿宋_GB2312"/>
          <w:sz w:val="30"/>
          <w:szCs w:val="30"/>
        </w:rPr>
      </w:pPr>
    </w:p>
    <w:p>
      <w:pPr>
        <w:widowControl/>
        <w:spacing w:line="500" w:lineRule="exact"/>
        <w:ind w:firstLine="645"/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青林回族维吾尔族乡人民政府</w:t>
      </w: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 w:cs="仿宋_GB2312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 w:cs="仿宋_GB2312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15</w:t>
      </w:r>
      <w:bookmarkStart w:id="0" w:name="_GoBack"/>
      <w:bookmarkEnd w:id="0"/>
      <w:r>
        <w:rPr>
          <w:rFonts w:hint="eastAsia" w:cs="仿宋_GB2312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14792"/>
    <w:multiLevelType w:val="singleLevel"/>
    <w:tmpl w:val="9E2147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46E52A"/>
    <w:multiLevelType w:val="singleLevel"/>
    <w:tmpl w:val="1146E5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FAE24D"/>
    <w:multiLevelType w:val="singleLevel"/>
    <w:tmpl w:val="38FAE24D"/>
    <w:lvl w:ilvl="0" w:tentative="0">
      <w:start w:val="2"/>
      <w:numFmt w:val="decimal"/>
      <w:suff w:val="nothing"/>
      <w:lvlText w:val="（%1）"/>
      <w:lvlJc w:val="left"/>
      <w:pPr>
        <w:ind w:left="-1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mI4Y2FkM2MxMzg1ZGQwOWFhNGZlMzhkNjg0ZGMifQ=="/>
  </w:docVars>
  <w:rsids>
    <w:rsidRoot w:val="D7F5C6E8"/>
    <w:rsid w:val="001415C9"/>
    <w:rsid w:val="001B55C7"/>
    <w:rsid w:val="005E0FC8"/>
    <w:rsid w:val="0067612B"/>
    <w:rsid w:val="0098274A"/>
    <w:rsid w:val="00AF68E9"/>
    <w:rsid w:val="00D8462A"/>
    <w:rsid w:val="00F9223E"/>
    <w:rsid w:val="00FE30B0"/>
    <w:rsid w:val="06C905A4"/>
    <w:rsid w:val="0B5404DC"/>
    <w:rsid w:val="0DD90D3A"/>
    <w:rsid w:val="0F8F019F"/>
    <w:rsid w:val="18CA0DCB"/>
    <w:rsid w:val="1D8A7671"/>
    <w:rsid w:val="1EF714FC"/>
    <w:rsid w:val="1EFD53CA"/>
    <w:rsid w:val="22DD2D2C"/>
    <w:rsid w:val="235C1499"/>
    <w:rsid w:val="27703055"/>
    <w:rsid w:val="2BAB2AD8"/>
    <w:rsid w:val="2C7C3860"/>
    <w:rsid w:val="321E2D8E"/>
    <w:rsid w:val="35973B40"/>
    <w:rsid w:val="37E58B0E"/>
    <w:rsid w:val="38104D2C"/>
    <w:rsid w:val="3ABE1FBB"/>
    <w:rsid w:val="3B4E4DA6"/>
    <w:rsid w:val="3FFD445E"/>
    <w:rsid w:val="4A2762B8"/>
    <w:rsid w:val="53C6520D"/>
    <w:rsid w:val="57BDA83F"/>
    <w:rsid w:val="62391B1E"/>
    <w:rsid w:val="666E5614"/>
    <w:rsid w:val="677FA283"/>
    <w:rsid w:val="6DE433D5"/>
    <w:rsid w:val="6FD150C3"/>
    <w:rsid w:val="6FFB3938"/>
    <w:rsid w:val="70C779B6"/>
    <w:rsid w:val="733D355C"/>
    <w:rsid w:val="73BB10EE"/>
    <w:rsid w:val="73EFEEE1"/>
    <w:rsid w:val="73FF14E9"/>
    <w:rsid w:val="75EFACF8"/>
    <w:rsid w:val="766E0C8E"/>
    <w:rsid w:val="76FFF031"/>
    <w:rsid w:val="77DFCB2B"/>
    <w:rsid w:val="79EFB67C"/>
    <w:rsid w:val="7B9FD535"/>
    <w:rsid w:val="7CFF7E7A"/>
    <w:rsid w:val="7EC33A42"/>
    <w:rsid w:val="7EFF463A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paragraph" w:customStyle="1" w:styleId="9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character" w:customStyle="1" w:styleId="10">
    <w:name w:val="Footer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2">
    <w:name w:val="Header Char"/>
    <w:basedOn w:val="7"/>
    <w:link w:val="5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9</Pages>
  <Words>677</Words>
  <Characters>3862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2022-09-05T08:06:00Z</cp:lastPrinted>
  <dcterms:modified xsi:type="dcterms:W3CDTF">2024-10-16T08:40:23Z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14BC5BCA3CC142D5BA3DD70C810A1761</vt:lpwstr>
  </property>
</Properties>
</file>