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00" w:lineRule="exact"/>
        <w:rPr>
          <w:rFonts w:ascii="Times New Roman" w:hAnsi="Times New Roman" w:eastAsia="仿宋_GB2312" w:cs="Times New Roman"/>
          <w:kern w:val="0"/>
          <w:sz w:val="32"/>
          <w:szCs w:val="32"/>
        </w:rPr>
      </w:pPr>
    </w:p>
    <w:p>
      <w:pPr>
        <w:spacing w:line="560" w:lineRule="exact"/>
        <w:jc w:val="center"/>
        <w:rPr>
          <w:rFonts w:ascii="Times New Roman" w:hAnsi="Times New Roman" w:eastAsia="方正小标宋_GBK" w:cs="Times New Roman"/>
          <w:b/>
          <w:bCs/>
          <w:kern w:val="0"/>
          <w:sz w:val="44"/>
          <w:szCs w:val="44"/>
        </w:rPr>
      </w:pPr>
    </w:p>
    <w:p>
      <w:pPr>
        <w:spacing w:line="600" w:lineRule="exact"/>
        <w:jc w:val="center"/>
        <w:rPr>
          <w:rFonts w:hint="eastAsia" w:ascii="宋体" w:hAnsi="宋体" w:cs="宋体"/>
          <w:b/>
          <w:bCs/>
          <w:spacing w:val="-10"/>
          <w:kern w:val="0"/>
          <w:sz w:val="44"/>
          <w:szCs w:val="44"/>
        </w:rPr>
      </w:pPr>
      <w:r>
        <w:rPr>
          <w:rFonts w:ascii="宋体" w:hAnsi="宋体" w:cs="宋体"/>
          <w:b/>
          <w:bCs/>
          <w:spacing w:val="-10"/>
          <w:kern w:val="0"/>
          <w:sz w:val="44"/>
          <w:szCs w:val="44"/>
        </w:rPr>
        <w:t>202</w:t>
      </w:r>
      <w:r>
        <w:rPr>
          <w:rFonts w:hint="eastAsia" w:ascii="宋体" w:hAnsi="宋体" w:cs="宋体"/>
          <w:b/>
          <w:bCs/>
          <w:spacing w:val="-10"/>
          <w:kern w:val="0"/>
          <w:sz w:val="44"/>
          <w:szCs w:val="44"/>
          <w:lang w:val="en-US" w:eastAsia="zh-CN"/>
        </w:rPr>
        <w:t>3</w:t>
      </w:r>
      <w:r>
        <w:rPr>
          <w:rFonts w:hint="eastAsia" w:ascii="宋体" w:hAnsi="宋体" w:cs="宋体"/>
          <w:b/>
          <w:bCs/>
          <w:spacing w:val="-10"/>
          <w:kern w:val="0"/>
          <w:sz w:val="44"/>
          <w:szCs w:val="44"/>
        </w:rPr>
        <w:t>年度</w:t>
      </w:r>
      <w:r>
        <w:rPr>
          <w:rFonts w:hint="eastAsia" w:ascii="宋体" w:hAnsi="宋体" w:cs="宋体"/>
          <w:b/>
          <w:bCs/>
          <w:spacing w:val="-10"/>
          <w:kern w:val="0"/>
          <w:sz w:val="44"/>
          <w:szCs w:val="44"/>
          <w:lang w:eastAsia="zh-CN"/>
        </w:rPr>
        <w:t>泥窝潭乡</w:t>
      </w:r>
      <w:r>
        <w:rPr>
          <w:rFonts w:hint="eastAsia" w:ascii="宋体" w:hAnsi="宋体" w:cs="宋体"/>
          <w:b/>
          <w:bCs/>
          <w:spacing w:val="-10"/>
          <w:kern w:val="0"/>
          <w:sz w:val="44"/>
          <w:szCs w:val="44"/>
        </w:rPr>
        <w:t>部门整体支出绩效</w:t>
      </w:r>
    </w:p>
    <w:p>
      <w:pPr>
        <w:spacing w:line="600" w:lineRule="exact"/>
        <w:jc w:val="center"/>
        <w:rPr>
          <w:rFonts w:hint="eastAsia" w:ascii="宋体" w:hAnsi="宋体" w:cs="宋体"/>
          <w:b/>
          <w:bCs/>
          <w:spacing w:val="-10"/>
          <w:kern w:val="0"/>
          <w:sz w:val="44"/>
          <w:szCs w:val="44"/>
        </w:rPr>
      </w:pPr>
      <w:r>
        <w:rPr>
          <w:rFonts w:hint="eastAsia" w:ascii="宋体" w:hAnsi="宋体" w:cs="宋体"/>
          <w:b/>
          <w:bCs/>
          <w:spacing w:val="-10"/>
          <w:kern w:val="0"/>
          <w:sz w:val="44"/>
          <w:szCs w:val="44"/>
        </w:rPr>
        <w:t>自评报告</w:t>
      </w:r>
    </w:p>
    <w:p>
      <w:pPr>
        <w:spacing w:line="600" w:lineRule="exact"/>
        <w:jc w:val="center"/>
        <w:rPr>
          <w:rFonts w:hint="eastAsia" w:ascii="宋体" w:hAnsi="宋体" w:cs="宋体"/>
          <w:b/>
          <w:bCs/>
          <w:spacing w:val="-10"/>
          <w:kern w:val="0"/>
          <w:sz w:val="44"/>
          <w:szCs w:val="44"/>
        </w:rPr>
      </w:pPr>
    </w:p>
    <w:p>
      <w:pPr>
        <w:widowControl/>
        <w:wordWrap/>
        <w:adjustRightInd/>
        <w:snapToGrid/>
        <w:spacing w:before="0" w:line="560" w:lineRule="exact"/>
        <w:ind w:left="0" w:leftChars="0" w:right="0"/>
        <w:outlineLvl w:val="9"/>
        <w:rPr>
          <w:rFonts w:ascii="黑体" w:hAnsi="黑体" w:eastAsia="黑体" w:cs="Times New Roman"/>
          <w:kern w:val="0"/>
          <w:sz w:val="32"/>
          <w:szCs w:val="32"/>
        </w:rPr>
      </w:pPr>
      <w:r>
        <w:rPr>
          <w:rFonts w:hint="eastAsia" w:ascii="黑体" w:hAnsi="黑体" w:eastAsia="黑体" w:cs="黑体"/>
          <w:kern w:val="0"/>
          <w:sz w:val="32"/>
          <w:szCs w:val="32"/>
        </w:rPr>
        <w:t>一、部门概况</w:t>
      </w:r>
    </w:p>
    <w:p>
      <w:pPr>
        <w:widowControl/>
        <w:wordWrap/>
        <w:adjustRightInd/>
        <w:snapToGrid/>
        <w:spacing w:before="0" w:line="560" w:lineRule="exact"/>
        <w:ind w:left="0" w:leftChars="0" w:right="0"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lang w:eastAsia="zh-CN"/>
        </w:rPr>
        <w:t>（一）</w:t>
      </w:r>
      <w:r>
        <w:rPr>
          <w:rFonts w:hint="eastAsia" w:ascii="Times New Roman" w:hAnsi="Times New Roman" w:eastAsia="仿宋_GB2312" w:cs="仿宋_GB2312"/>
          <w:kern w:val="0"/>
          <w:sz w:val="32"/>
          <w:szCs w:val="32"/>
        </w:rPr>
        <w:t>机构、人员构成</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桃源县泥窝潭乡辖行政村9个，政府机关1个，下设5个站所，包括：政务服务中心、社会事务综合服务中心、农业综合服务中心、退役军人服务站、综合行政执法大队。</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人员及编制情况：泥窝潭乡人民政府属于行政事业单位。核定行政事业编制58个，其中：行政编制30个、事业编制28个。编内在职人数55人，其中：行政编人数28人、事业编人数27人。退休人员27人。村（居）民委员会。核定村居干部编制37个，实有人数37人。</w:t>
      </w:r>
    </w:p>
    <w:p>
      <w:pPr>
        <w:widowControl/>
        <w:wordWrap/>
        <w:adjustRightInd/>
        <w:snapToGrid/>
        <w:spacing w:before="0" w:line="560" w:lineRule="exact"/>
        <w:ind w:left="0" w:leftChars="0" w:right="0"/>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 xml:space="preserve">  （二）</w:t>
      </w:r>
      <w:r>
        <w:rPr>
          <w:rFonts w:hint="eastAsia" w:ascii="Times New Roman" w:hAnsi="Times New Roman" w:eastAsia="仿宋_GB2312" w:cs="仿宋_GB2312"/>
          <w:kern w:val="0"/>
          <w:sz w:val="32"/>
          <w:szCs w:val="32"/>
          <w:lang w:eastAsia="zh-CN"/>
        </w:rPr>
        <w:t>单位主要职责</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default" w:ascii="Times New Roman" w:hAnsi="Times New Roman" w:eastAsia="仿宋_GB2312" w:cs="仿宋_GB2312"/>
          <w:kern w:val="0"/>
          <w:sz w:val="32"/>
          <w:szCs w:val="32"/>
          <w:lang w:val="en-US" w:eastAsia="zh-CN" w:bidi="ar-SA"/>
        </w:rPr>
        <w:t>2</w:t>
      </w:r>
      <w:r>
        <w:rPr>
          <w:rFonts w:hint="eastAsia" w:ascii="Times New Roman" w:hAnsi="Times New Roman" w:eastAsia="仿宋_GB2312" w:cs="仿宋_GB2312"/>
          <w:kern w:val="0"/>
          <w:sz w:val="32"/>
          <w:szCs w:val="32"/>
          <w:lang w:val="en-US" w:eastAsia="zh-CN" w:bidi="ar-SA"/>
        </w:rPr>
        <w:t>．制定并组织实施村镇建设规划，部署重点工程建设，地方道路建设及公共设施，水利设施的管理，负责土地、林木、水等自然资源和生态环境的保护，做好护林防火工作。</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default" w:ascii="Times New Roman" w:hAnsi="Times New Roman" w:eastAsia="仿宋_GB2312" w:cs="仿宋_GB2312"/>
          <w:kern w:val="0"/>
          <w:sz w:val="32"/>
          <w:szCs w:val="32"/>
          <w:lang w:val="en-US" w:eastAsia="zh-CN" w:bidi="ar-SA"/>
        </w:rPr>
        <w:t>3</w:t>
      </w:r>
      <w:r>
        <w:rPr>
          <w:rFonts w:hint="eastAsia" w:ascii="Times New Roman" w:hAnsi="Times New Roman" w:eastAsia="仿宋_GB2312" w:cs="仿宋_GB2312"/>
          <w:kern w:val="0"/>
          <w:sz w:val="32"/>
          <w:szCs w:val="32"/>
          <w:lang w:val="en-US" w:eastAsia="zh-CN" w:bidi="ar-SA"/>
        </w:rPr>
        <w:t>．负责本乡镇区域内的民政、计划生育、文化教育、卫生、体育等社会公益事业的综合性工作，维护一切经济单位和个人的正当经济权益，取缔非法经济活动，调解和处理民事纠纷，打击刑事犯罪维护社会稳定。</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default" w:ascii="Times New Roman" w:hAnsi="Times New Roman" w:eastAsia="仿宋_GB2312" w:cs="仿宋_GB2312"/>
          <w:kern w:val="0"/>
          <w:sz w:val="32"/>
          <w:szCs w:val="32"/>
          <w:lang w:val="en-US" w:eastAsia="zh-CN" w:bidi="ar-SA"/>
        </w:rPr>
        <w:t>4</w:t>
      </w:r>
      <w:r>
        <w:rPr>
          <w:rFonts w:hint="eastAsia" w:ascii="Times New Roman" w:hAnsi="Times New Roman" w:eastAsia="仿宋_GB2312" w:cs="仿宋_GB2312"/>
          <w:kern w:val="0"/>
          <w:sz w:val="32"/>
          <w:szCs w:val="32"/>
          <w:lang w:val="en-US" w:eastAsia="zh-CN" w:bidi="ar-SA"/>
        </w:rPr>
        <w:t>．按计划组织本级财政收入和地方税的征收，完成国家财政计划，不断培植税源，管好财政资金，增强财政实力。</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default" w:ascii="Times New Roman" w:hAnsi="Times New Roman" w:eastAsia="仿宋_GB2312" w:cs="仿宋_GB2312"/>
          <w:kern w:val="0"/>
          <w:sz w:val="32"/>
          <w:szCs w:val="32"/>
          <w:lang w:val="en-US" w:eastAsia="zh-CN" w:bidi="ar-SA"/>
        </w:rPr>
        <w:t>5</w:t>
      </w:r>
      <w:r>
        <w:rPr>
          <w:rFonts w:hint="eastAsia" w:ascii="Times New Roman" w:hAnsi="Times New Roman" w:eastAsia="仿宋_GB2312" w:cs="仿宋_GB2312"/>
          <w:kern w:val="0"/>
          <w:sz w:val="32"/>
          <w:szCs w:val="32"/>
          <w:lang w:val="en-US" w:eastAsia="zh-CN" w:bidi="ar-SA"/>
        </w:rPr>
        <w:t>．抓好精神文明建设，丰富群众文化生活，提倡移风易俗，反对封建迷信，破除陈规陋习，树立社会主义新风尚。</w:t>
      </w:r>
    </w:p>
    <w:p>
      <w:pPr>
        <w:widowControl/>
        <w:wordWrap/>
        <w:adjustRightInd/>
        <w:snapToGrid/>
        <w:spacing w:before="0" w:line="560" w:lineRule="exact"/>
        <w:ind w:left="0" w:leftChars="0" w:right="0"/>
        <w:outlineLvl w:val="9"/>
        <w:rPr>
          <w:rFonts w:hint="eastAsia" w:ascii="Times New Roman" w:hAnsi="Times New Roman" w:eastAsia="仿宋_GB2312" w:cs="仿宋_GB2312"/>
          <w:kern w:val="0"/>
          <w:sz w:val="32"/>
          <w:szCs w:val="32"/>
          <w:lang w:val="en-US" w:eastAsia="zh-CN"/>
        </w:rPr>
      </w:pPr>
      <w:r>
        <w:rPr>
          <w:rFonts w:hint="eastAsia" w:ascii="黑体" w:hAnsi="黑体" w:eastAsia="黑体" w:cs="黑体"/>
          <w:kern w:val="0"/>
          <w:sz w:val="32"/>
          <w:szCs w:val="32"/>
          <w:lang w:val="en-US" w:eastAsia="zh-CN"/>
        </w:rPr>
        <w:t xml:space="preserve">  </w:t>
      </w:r>
      <w:r>
        <w:rPr>
          <w:rFonts w:hint="eastAsia" w:ascii="Times New Roman" w:hAnsi="Times New Roman" w:eastAsia="仿宋_GB2312" w:cs="仿宋_GB2312"/>
          <w:kern w:val="0"/>
          <w:sz w:val="32"/>
          <w:szCs w:val="32"/>
          <w:lang w:val="en-US" w:eastAsia="zh-CN"/>
        </w:rPr>
        <w:t>（三）、部门财务情况</w:t>
      </w:r>
    </w:p>
    <w:p>
      <w:pPr>
        <w:widowControl/>
        <w:wordWrap/>
        <w:adjustRightInd/>
        <w:snapToGrid/>
        <w:spacing w:before="0" w:line="560" w:lineRule="exact"/>
        <w:ind w:left="0" w:leftChars="0" w:right="0" w:firstLine="600" w:firstLineChars="200"/>
        <w:outlineLvl w:val="9"/>
        <w:rPr>
          <w:rFonts w:hint="eastAsia" w:ascii="Times New Roman" w:hAnsi="Times New Roman" w:eastAsia="仿宋_GB2312" w:cs="仿宋_GB2312"/>
          <w:kern w:val="0"/>
          <w:sz w:val="32"/>
          <w:szCs w:val="32"/>
          <w:lang w:val="en-US" w:eastAsia="zh-CN" w:bidi="ar-SA"/>
        </w:rPr>
      </w:pPr>
      <w:r>
        <w:rPr>
          <w:rFonts w:hint="default" w:ascii="Times New Roman" w:hAnsi="Times New Roman" w:eastAsia="仿宋_GB2312" w:cs="仿宋_GB2312"/>
          <w:kern w:val="0"/>
          <w:sz w:val="32"/>
          <w:szCs w:val="32"/>
          <w:lang w:val="en-US" w:eastAsia="zh-CN" w:bidi="ar-SA"/>
        </w:rPr>
        <w:t>1</w:t>
      </w:r>
      <w:r>
        <w:rPr>
          <w:rFonts w:hint="eastAsia" w:ascii="Times New Roman" w:hAnsi="Times New Roman" w:eastAsia="仿宋_GB2312" w:cs="仿宋_GB2312"/>
          <w:kern w:val="0"/>
          <w:sz w:val="32"/>
          <w:szCs w:val="32"/>
          <w:lang w:val="en-US" w:eastAsia="zh-CN" w:bidi="ar-SA"/>
        </w:rPr>
        <w:t>．2023年12月31日单位资产总额（不含所属二级预算单位）719.26万元，其中：流动资产611.93万元、非流动资产107.33万元，负债总额298.88万元，净资产总额420.38万元。</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w:t>
      </w:r>
      <w:r>
        <w:rPr>
          <w:rFonts w:hint="eastAsia" w:ascii="仿宋" w:hAnsi="仿宋" w:eastAsia="仿宋" w:cs="仿宋"/>
          <w:kern w:val="0"/>
          <w:sz w:val="30"/>
          <w:szCs w:val="30"/>
          <w:lang w:val="en-US" w:eastAsia="zh-CN" w:bidi="ar-SA"/>
        </w:rPr>
        <w:t>．</w:t>
      </w:r>
      <w:r>
        <w:rPr>
          <w:rFonts w:hint="eastAsia" w:ascii="Times New Roman" w:hAnsi="Times New Roman" w:eastAsia="仿宋_GB2312" w:cs="仿宋_GB2312"/>
          <w:kern w:val="0"/>
          <w:sz w:val="32"/>
          <w:szCs w:val="32"/>
          <w:lang w:val="en-US" w:eastAsia="zh-CN"/>
        </w:rPr>
        <w:t>部门整体收支情况</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leftChars="0" w:right="0" w:firstLine="645"/>
        <w:jc w:val="left"/>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2023年部门年初预算收入2002.16万元，决算收入2320.52万元，其中：一般公共预算拨款2265.94万元，政府性基金预算财政拨款收入4.58万元，国有资本经营预算财政拨款收入0万元，纳入专户管理的非税收入拨款0万元，其他资金50万元。</w:t>
      </w:r>
    </w:p>
    <w:p>
      <w:pPr>
        <w:widowControl/>
        <w:wordWrap/>
        <w:adjustRightInd/>
        <w:snapToGrid/>
        <w:spacing w:before="0" w:line="560" w:lineRule="exact"/>
        <w:ind w:left="0" w:leftChars="0" w:right="0" w:firstLine="600" w:firstLineChars="200"/>
        <w:textAlignment w:val="auto"/>
        <w:outlineLvl w:val="9"/>
        <w:rPr>
          <w:rFonts w:hint="eastAsia" w:ascii="仿宋" w:hAnsi="仿宋" w:eastAsia="仿宋" w:cs="仿宋"/>
          <w:kern w:val="0"/>
          <w:sz w:val="30"/>
          <w:szCs w:val="30"/>
          <w:lang w:val="en-US" w:eastAsia="zh-CN" w:bidi="ar-SA"/>
        </w:rPr>
      </w:pPr>
      <w:r>
        <w:rPr>
          <w:rFonts w:hint="eastAsia"/>
          <w:sz w:val="30"/>
          <w:szCs w:val="30"/>
          <w:lang w:val="en-US" w:eastAsia="zh-CN"/>
        </w:rPr>
        <w:t>3</w:t>
      </w:r>
      <w:r>
        <w:rPr>
          <w:rFonts w:hint="eastAsia" w:ascii="仿宋" w:hAnsi="仿宋" w:eastAsia="仿宋" w:cs="仿宋"/>
          <w:kern w:val="0"/>
          <w:sz w:val="30"/>
          <w:szCs w:val="30"/>
          <w:lang w:val="en-US" w:eastAsia="zh-CN" w:bidi="ar-SA"/>
        </w:rPr>
        <w:t>．</w:t>
      </w:r>
      <w:r>
        <w:rPr>
          <w:rFonts w:hint="eastAsia"/>
          <w:sz w:val="30"/>
          <w:szCs w:val="30"/>
          <w:lang w:val="en-US" w:eastAsia="zh-CN"/>
        </w:rPr>
        <w:t>“三公经费”支出使用和管理情况</w:t>
      </w:r>
    </w:p>
    <w:p>
      <w:pPr>
        <w:widowControl/>
        <w:wordWrap/>
        <w:adjustRightInd/>
        <w:snapToGrid/>
        <w:spacing w:before="0" w:line="560" w:lineRule="exact"/>
        <w:ind w:left="0" w:leftChars="0" w:right="0" w:firstLine="640" w:firstLineChars="200"/>
        <w:textAlignment w:val="auto"/>
        <w:outlineLvl w:val="9"/>
        <w:rPr>
          <w:rFonts w:hint="eastAsia" w:ascii="黑体" w:hAnsi="黑体" w:eastAsia="黑体" w:cs="黑体"/>
          <w:kern w:val="0"/>
          <w:sz w:val="32"/>
          <w:szCs w:val="32"/>
          <w:lang w:eastAsia="zh-CN"/>
        </w:rPr>
      </w:pPr>
      <w:r>
        <w:rPr>
          <w:rFonts w:hint="eastAsia" w:ascii="Times New Roman" w:hAnsi="Times New Roman" w:eastAsia="仿宋_GB2312" w:cs="仿宋_GB2312"/>
          <w:kern w:val="0"/>
          <w:sz w:val="32"/>
          <w:szCs w:val="32"/>
          <w:lang w:val="en-US" w:eastAsia="zh-CN" w:bidi="ar-SA"/>
        </w:rPr>
        <w:t>桃源县泥窝潭乡人民政府2023年度三公经费年初预算15.79万元，其中，公务接待费预算支出15.79万元，公务用车购置和维护经费0万元。2023年度三公经费决算支出15.79万元，其中公务接待费决算支出15.79万元，未超过预算。</w:t>
      </w:r>
    </w:p>
    <w:p>
      <w:pPr>
        <w:widowControl/>
        <w:wordWrap/>
        <w:adjustRightInd/>
        <w:snapToGrid/>
        <w:spacing w:before="0" w:line="560" w:lineRule="exact"/>
        <w:ind w:left="0" w:leftChars="0" w:right="0"/>
        <w:textAlignment w:val="auto"/>
        <w:outlineLvl w:val="9"/>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val="en-US" w:eastAsia="zh-CN"/>
        </w:rPr>
        <w:t xml:space="preserve">  </w:t>
      </w:r>
      <w:r>
        <w:rPr>
          <w:rFonts w:hint="eastAsia" w:ascii="Times New Roman" w:hAnsi="Times New Roman" w:eastAsia="仿宋_GB2312" w:cs="仿宋_GB2312"/>
          <w:kern w:val="0"/>
          <w:sz w:val="32"/>
          <w:szCs w:val="32"/>
          <w:lang w:eastAsia="zh-CN"/>
        </w:rPr>
        <w:t>（四）、部门绩效目标</w:t>
      </w:r>
    </w:p>
    <w:p>
      <w:pPr>
        <w:widowControl/>
        <w:wordWrap/>
        <w:adjustRightInd/>
        <w:snapToGrid/>
        <w:spacing w:before="0" w:line="560" w:lineRule="exact"/>
        <w:ind w:left="0" w:leftChars="0" w:right="0" w:firstLine="600" w:firstLineChars="200"/>
        <w:outlineLvl w:val="9"/>
        <w:rPr>
          <w:sz w:val="30"/>
          <w:szCs w:val="30"/>
        </w:rPr>
      </w:pPr>
      <w:r>
        <w:rPr>
          <w:sz w:val="30"/>
          <w:szCs w:val="30"/>
        </w:rPr>
        <w:t xml:space="preserve">1. </w:t>
      </w:r>
      <w:r>
        <w:rPr>
          <w:rFonts w:hint="eastAsia" w:cs="仿宋_GB2312"/>
          <w:sz w:val="30"/>
          <w:szCs w:val="30"/>
        </w:rPr>
        <w:t>部门绩效总目标</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本单位进行精心细致严谨的预算，将有限的财政资金安排到关系民生项目建设，提高人民幸福感、获得感，保障社会稳定，促进辖区经济发展、保障机构正常运转等方面。部门绩效总目标围绕“强基础、转作风、树形象、保稳定、促发展、惠民生”的工作思路，大力实施“生态立镇、农业稳镇、实干兴镇、项目富镇”的发展战略，大力推进现代农业产业发展。</w:t>
      </w:r>
    </w:p>
    <w:p>
      <w:pPr>
        <w:widowControl/>
        <w:wordWrap/>
        <w:adjustRightInd/>
        <w:snapToGrid/>
        <w:spacing w:before="0" w:line="560" w:lineRule="exact"/>
        <w:ind w:left="0" w:leftChars="0" w:right="0" w:firstLine="600" w:firstLineChars="200"/>
        <w:outlineLvl w:val="9"/>
        <w:rPr>
          <w:sz w:val="30"/>
          <w:szCs w:val="30"/>
        </w:rPr>
      </w:pPr>
      <w:r>
        <w:rPr>
          <w:sz w:val="30"/>
          <w:szCs w:val="30"/>
        </w:rPr>
        <w:t xml:space="preserve">2. </w:t>
      </w:r>
      <w:r>
        <w:rPr>
          <w:rFonts w:hint="eastAsia" w:cs="仿宋_GB2312"/>
          <w:sz w:val="30"/>
          <w:szCs w:val="30"/>
        </w:rPr>
        <w:t>部门</w:t>
      </w:r>
      <w:r>
        <w:rPr>
          <w:rFonts w:hint="eastAsia"/>
          <w:sz w:val="30"/>
          <w:szCs w:val="30"/>
          <w:lang w:eastAsia="zh-CN"/>
        </w:rPr>
        <w:t>202</w:t>
      </w:r>
      <w:r>
        <w:rPr>
          <w:rFonts w:hint="eastAsia"/>
          <w:sz w:val="30"/>
          <w:szCs w:val="30"/>
          <w:lang w:val="en-US" w:eastAsia="zh-CN"/>
        </w:rPr>
        <w:t>3</w:t>
      </w:r>
      <w:r>
        <w:rPr>
          <w:rFonts w:hint="eastAsia" w:cs="仿宋_GB2312"/>
          <w:sz w:val="30"/>
          <w:szCs w:val="30"/>
        </w:rPr>
        <w:t>年度绩效目标</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(1)数量指标</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1、行政村正常运转个数9个，保障村居人员工资正常发放，村级工作顺利开展。</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2、发展2个乡村振兴产业项目，发放生产资料，新增60个就业岗位。</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3、机耕路建设与维护12处，包括集镇道路与村级道路及机耕路，对路面进行拓宽及维修维护。</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4、水库、堰塘整修与维护16次， 保障季节性农田供水。   </w:t>
      </w:r>
    </w:p>
    <w:p>
      <w:pPr>
        <w:widowControl/>
        <w:wordWrap/>
        <w:adjustRightInd/>
        <w:snapToGrid/>
        <w:spacing w:before="0" w:line="560" w:lineRule="exact"/>
        <w:ind w:right="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  （2）质量指标。项目验收合格率100%；安全生产合格率100%。</w:t>
      </w:r>
    </w:p>
    <w:p>
      <w:pPr>
        <w:widowControl/>
        <w:wordWrap/>
        <w:adjustRightInd/>
        <w:snapToGrid/>
        <w:spacing w:before="0" w:line="560" w:lineRule="exact"/>
        <w:ind w:right="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  （3）时效指标。各项资金拨付及时率100%；各项工作完成及时率100%。</w:t>
      </w:r>
    </w:p>
    <w:p>
      <w:pPr>
        <w:widowControl/>
        <w:wordWrap/>
        <w:adjustRightInd/>
        <w:snapToGrid/>
        <w:spacing w:before="0" w:line="560" w:lineRule="exact"/>
        <w:ind w:right="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  （4）成本指标。成本发生规范合理率100%。</w:t>
      </w:r>
    </w:p>
    <w:p>
      <w:pPr>
        <w:widowControl/>
        <w:wordWrap/>
        <w:adjustRightInd/>
        <w:snapToGrid/>
        <w:spacing w:before="0" w:line="560" w:lineRule="exact"/>
        <w:ind w:right="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  （5）满意度。群众满意度100%。</w:t>
      </w:r>
    </w:p>
    <w:p>
      <w:pPr>
        <w:widowControl/>
        <w:wordWrap/>
        <w:adjustRightInd/>
        <w:snapToGrid/>
        <w:spacing w:before="0" w:line="560" w:lineRule="exact"/>
        <w:ind w:left="0" w:leftChars="0" w:right="0"/>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二、 一般公共预算支出情况</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2023年部门年初预算支出2002.16万元，其中：基本支出709.07万元，项目支出1293.09万元。部门决算支出2320.52万元，其中：基本支出1567.87万元，项目支出752.65万元。</w:t>
      </w:r>
    </w:p>
    <w:p>
      <w:pPr>
        <w:widowControl/>
        <w:wordWrap/>
        <w:adjustRightInd/>
        <w:snapToGrid/>
        <w:spacing w:before="0" w:line="560" w:lineRule="exact"/>
        <w:ind w:left="0" w:leftChars="0" w:right="0"/>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三、政府性基金预算支出情况</w:t>
      </w:r>
    </w:p>
    <w:p>
      <w:pPr>
        <w:widowControl/>
        <w:wordWrap/>
        <w:adjustRightInd/>
        <w:snapToGrid/>
        <w:spacing w:before="0" w:line="560" w:lineRule="exact"/>
        <w:ind w:left="0" w:leftChars="0" w:right="0" w:firstLine="640" w:firstLineChars="200"/>
        <w:textAlignment w:val="auto"/>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2023年部门政府性基金年初预算0.00万元，部门决算支出4.58万元。其中:基本支出0.00万元，项目支出4.58万元。</w:t>
      </w:r>
    </w:p>
    <w:p>
      <w:pPr>
        <w:pStyle w:val="2"/>
        <w:wordWrap/>
        <w:adjustRightInd/>
        <w:snapToGrid/>
        <w:spacing w:before="0" w:line="560" w:lineRule="exact"/>
        <w:ind w:left="0" w:leftChars="0" w:right="0"/>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四、国有资本经营预算支出情况</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无</w:t>
      </w:r>
    </w:p>
    <w:p>
      <w:pPr>
        <w:widowControl/>
        <w:numPr>
          <w:numId w:val="0"/>
        </w:numPr>
        <w:wordWrap/>
        <w:adjustRightInd/>
        <w:snapToGrid/>
        <w:spacing w:before="0" w:line="560" w:lineRule="exact"/>
        <w:ind w:left="0" w:leftChars="0" w:right="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五、社会保险基金预算情况</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无</w:t>
      </w:r>
    </w:p>
    <w:p>
      <w:pPr>
        <w:widowControl/>
        <w:numPr>
          <w:numId w:val="0"/>
        </w:numPr>
        <w:wordWrap/>
        <w:adjustRightInd/>
        <w:snapToGrid/>
        <w:spacing w:before="0" w:line="560" w:lineRule="exact"/>
        <w:ind w:left="0" w:leftChars="0" w:right="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六、部门整体支出绩效情况</w:t>
      </w:r>
    </w:p>
    <w:p>
      <w:pPr>
        <w:widowControl/>
        <w:wordWrap/>
        <w:adjustRightInd/>
        <w:snapToGrid/>
        <w:spacing w:before="0" w:line="560" w:lineRule="exact"/>
        <w:ind w:left="0" w:leftChars="0" w:right="0"/>
        <w:textAlignment w:val="auto"/>
        <w:outlineLvl w:val="9"/>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 xml:space="preserve">   （一）部门产出指标完成情况</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lang w:val="en-US" w:eastAsia="zh-CN"/>
        </w:rPr>
        <w:t>1.</w:t>
      </w:r>
      <w:r>
        <w:rPr>
          <w:rFonts w:hint="eastAsia" w:ascii="Times New Roman" w:hAnsi="Times New Roman" w:eastAsia="仿宋_GB2312" w:cs="仿宋_GB2312"/>
          <w:kern w:val="0"/>
          <w:sz w:val="32"/>
          <w:szCs w:val="32"/>
          <w:lang w:val="en-US" w:eastAsia="zh-CN" w:bidi="ar-SA"/>
        </w:rPr>
        <w:t>整治“非粮化”存量图斑14处，面积132.9亩。</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2.实施发展两个乡村振兴产业项目，发放11.66万元生产资料。</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3.集镇维修维护。投入50万元改造800米老街道路，并对百余盏路灯进行节能改造。</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4.农林水方面，人工造林1500余亩，其中油茶新造500余亩；河沟渠塘清淤67条约26公里。</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5.危房改造12户。</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6.投入20万余元对敬老院消防设施、中学食堂进行升级改造。</w:t>
      </w:r>
    </w:p>
    <w:p>
      <w:pPr>
        <w:pStyle w:val="2"/>
        <w:numPr>
          <w:numId w:val="0"/>
        </w:numPr>
        <w:wordWrap/>
        <w:adjustRightInd/>
        <w:snapToGrid/>
        <w:spacing w:before="0" w:line="560" w:lineRule="exact"/>
        <w:ind w:right="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  （二）、部门绩效情况</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促进经济发展。强化道路建设，打造通行环境。多条道路作为全镇优化路网建设抓手，有效地缓解交通压力，保障道路的畅通，让人民群众真正感受到四通八达便利的通行环境，提升群众的获得感和幸福感；强化产业结构调整，解决农田用水问题。为进一步加大农田水利工程建设，按照农田水利规划的目标，以扩挖塘坝、清理沟渠、除险加固水库等几个方面谋划农田水利工程。多措并举为农业增效、农民增收、农村发展打下了坚实的基础。</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保障机构正常运转。每年安排经费用于乡镇财资金监管、日常办公、基础设施建设、人员培训等各项支出；规范乡镇收支管理。建立健全集中收缴、内控管理机制，进一步规范收支两条线管理，遏制财政资金“体外循环”，加强对乡镇财政支出管理，合理调整乡镇财务支出的范围。同时，严格按照财政“三保”要求，统筹优化财政支出，确保乡镇高效运转。</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环境改善，辖区群众保护环境意识有所提高。强化生态环境改善。树立绿水青山就是“金山银山”的理念，积极采取相应措施，全力做好中央环保督察“回头看”和省、市环保督察反馈问题整改，强力推进污染整治，确保生态环境得到持续有效改善。 </w:t>
      </w:r>
    </w:p>
    <w:p>
      <w:pPr>
        <w:pStyle w:val="2"/>
        <w:wordWrap/>
        <w:adjustRightInd/>
        <w:snapToGrid/>
        <w:spacing w:before="0" w:line="560" w:lineRule="exact"/>
        <w:ind w:left="0" w:leftChars="0" w:right="0" w:firstLine="640" w:firstLineChars="200"/>
        <w:outlineLvl w:val="9"/>
        <w:rPr>
          <w:rFonts w:hint="eastAsia" w:ascii="仿宋" w:hAnsi="仿宋" w:eastAsia="仿宋" w:cs="仿宋"/>
          <w:color w:val="FF0000"/>
          <w:kern w:val="0"/>
          <w:sz w:val="30"/>
          <w:szCs w:val="30"/>
          <w:lang w:val="en-US" w:eastAsia="zh-CN" w:bidi="ar-SA"/>
        </w:rPr>
      </w:pPr>
      <w:r>
        <w:rPr>
          <w:rFonts w:hint="eastAsia" w:ascii="Times New Roman" w:hAnsi="Times New Roman" w:eastAsia="仿宋_GB2312" w:cs="仿宋_GB2312"/>
          <w:kern w:val="0"/>
          <w:sz w:val="32"/>
          <w:szCs w:val="32"/>
          <w:lang w:val="en-US" w:eastAsia="zh-CN" w:bidi="ar-SA"/>
        </w:rPr>
        <w:t>满意度提高。社会公众满意度95%以上。</w:t>
      </w:r>
      <w:r>
        <w:rPr>
          <w:rFonts w:hint="eastAsia" w:ascii="仿宋" w:hAnsi="仿宋" w:eastAsia="仿宋" w:cs="仿宋"/>
          <w:color w:val="FF0000"/>
          <w:kern w:val="0"/>
          <w:sz w:val="30"/>
          <w:szCs w:val="30"/>
          <w:lang w:val="en-US" w:eastAsia="zh-CN" w:bidi="ar-SA"/>
        </w:rPr>
        <w:tab/>
      </w:r>
    </w:p>
    <w:p>
      <w:pPr>
        <w:widowControl/>
        <w:numPr>
          <w:numId w:val="0"/>
        </w:numPr>
        <w:wordWrap/>
        <w:adjustRightInd/>
        <w:snapToGrid/>
        <w:spacing w:before="0" w:line="560" w:lineRule="exact"/>
        <w:ind w:left="0" w:leftChars="0" w:right="0"/>
        <w:textAlignment w:val="auto"/>
        <w:outlineLvl w:val="9"/>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七、存在的问题及原因分析</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1.项目列支不够完善，年底决算时对相应项目的划分不够细致。原因是日常工作中未做好项目台账管理。</w:t>
      </w:r>
    </w:p>
    <w:p>
      <w:pPr>
        <w:pStyle w:val="2"/>
        <w:wordWrap/>
        <w:adjustRightInd/>
        <w:snapToGrid/>
        <w:spacing w:before="0" w:line="560" w:lineRule="exact"/>
        <w:ind w:left="0" w:leftChars="0" w:right="0" w:firstLine="640" w:firstLineChars="200"/>
        <w:outlineLvl w:val="9"/>
        <w:rPr>
          <w:rFonts w:hint="eastAsia" w:eastAsia="黑体" w:cs="黑体"/>
          <w:sz w:val="32"/>
          <w:szCs w:val="32"/>
        </w:rPr>
      </w:pPr>
      <w:r>
        <w:rPr>
          <w:rFonts w:hint="eastAsia" w:ascii="Times New Roman" w:hAnsi="Times New Roman" w:eastAsia="仿宋_GB2312" w:cs="仿宋_GB2312"/>
          <w:kern w:val="0"/>
          <w:sz w:val="32"/>
          <w:szCs w:val="32"/>
          <w:lang w:val="en-US" w:eastAsia="zh-CN" w:bidi="ar-SA"/>
        </w:rPr>
        <w:t>2.年初预算不够细化，预算调整率高，部分资金有的不足、有的剩余。原因是年初预算时未充分考虑到本乡实际情况。</w:t>
      </w:r>
    </w:p>
    <w:p>
      <w:pPr>
        <w:widowControl/>
        <w:wordWrap/>
        <w:adjustRightInd/>
        <w:snapToGrid/>
        <w:spacing w:before="0" w:line="560" w:lineRule="exact"/>
        <w:ind w:right="0"/>
        <w:jc w:val="left"/>
        <w:outlineLvl w:val="9"/>
        <w:rPr>
          <w:rFonts w:eastAsia="黑体"/>
          <w:color w:val="FF0000"/>
          <w:sz w:val="32"/>
          <w:szCs w:val="32"/>
        </w:rPr>
      </w:pPr>
      <w:r>
        <w:rPr>
          <w:rFonts w:hint="eastAsia" w:eastAsia="黑体" w:cs="黑体"/>
          <w:sz w:val="32"/>
          <w:szCs w:val="32"/>
        </w:rPr>
        <w:t>八、</w:t>
      </w:r>
      <w:r>
        <w:rPr>
          <w:rFonts w:hint="eastAsia" w:eastAsia="黑体" w:cs="黑体"/>
          <w:sz w:val="32"/>
          <w:szCs w:val="32"/>
          <w:lang w:eastAsia="zh-CN"/>
        </w:rPr>
        <w:t>改进措施</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仿宋" w:hAnsi="仿宋" w:eastAsia="仿宋" w:cs="仿宋"/>
          <w:kern w:val="0"/>
          <w:sz w:val="30"/>
          <w:szCs w:val="30"/>
          <w:lang w:val="en-US" w:eastAsia="zh-CN" w:bidi="ar-SA"/>
        </w:rPr>
        <w:t xml:space="preserve"> </w:t>
      </w:r>
      <w:r>
        <w:rPr>
          <w:rFonts w:hint="eastAsia" w:ascii="Times New Roman" w:hAnsi="Times New Roman" w:eastAsia="仿宋_GB2312" w:cs="仿宋_GB2312"/>
          <w:kern w:val="0"/>
          <w:sz w:val="32"/>
          <w:szCs w:val="32"/>
          <w:lang w:val="en-US" w:eastAsia="zh-CN" w:bidi="ar-SA"/>
        </w:rPr>
        <w:t>科学合理测算本单位年度收入、支出，提高预算科学性，在编制预算时结合上年决算及年度内单位可预见的工作任务据实编制，避免年初预算与实际执行出现大的偏差，提高预算控制水平。</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 xml:space="preserve"> 坚持做好项目台账日常管理，定期对台账进行审核和核对，发现问题及时纠正。</w:t>
      </w:r>
    </w:p>
    <w:p>
      <w:pPr>
        <w:pStyle w:val="2"/>
        <w:wordWrap/>
        <w:adjustRightInd/>
        <w:snapToGrid/>
        <w:spacing w:before="0" w:line="560" w:lineRule="exact"/>
        <w:ind w:left="0" w:leftChars="0" w:right="0" w:firstLine="600" w:firstLineChars="200"/>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九、部门整体支出绩效自评结果及公开情况</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2023年桃源县泥窝潭乡人民政府整体支出绩效自评为97分，自评结果将在县政府预决算公开网址对外公开，接受社会监督。</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bookmarkStart w:id="0" w:name="_GoBack"/>
      <w:bookmarkEnd w:id="0"/>
      <w:r>
        <w:rPr>
          <w:rFonts w:hint="eastAsia" w:ascii="Times New Roman" w:hAnsi="Times New Roman" w:eastAsia="仿宋_GB2312" w:cs="仿宋_GB2312"/>
          <w:kern w:val="0"/>
          <w:sz w:val="32"/>
          <w:szCs w:val="32"/>
          <w:lang w:val="en-US" w:eastAsia="zh-CN" w:bidi="ar-SA"/>
        </w:rPr>
        <w:t>附件：</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1.部门整体支出绩效评价基础数据表</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2.部门整体支出绩效自评表</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3.项目支出绩效自评表</w:t>
      </w:r>
    </w:p>
    <w:p>
      <w:pPr>
        <w:pStyle w:val="2"/>
        <w:wordWrap/>
        <w:adjustRightInd/>
        <w:snapToGrid/>
        <w:spacing w:before="0" w:line="560" w:lineRule="exact"/>
        <w:ind w:left="0" w:leftChars="0" w:right="0" w:firstLine="640" w:firstLineChars="200"/>
        <w:outlineLvl w:val="9"/>
        <w:rPr>
          <w:rFonts w:hint="eastAsia" w:ascii="Times New Roman" w:hAnsi="Times New Roman" w:eastAsia="仿宋_GB2312" w:cs="仿宋_GB2312"/>
          <w:kern w:val="0"/>
          <w:sz w:val="32"/>
          <w:szCs w:val="32"/>
          <w:lang w:val="en-US" w:eastAsia="zh-CN" w:bidi="ar-SA"/>
        </w:rPr>
      </w:pPr>
    </w:p>
    <w:p>
      <w:pPr>
        <w:wordWrap/>
        <w:adjustRightInd/>
        <w:snapToGrid/>
        <w:spacing w:before="0" w:line="560" w:lineRule="exact"/>
        <w:ind w:left="0" w:leftChars="0" w:right="0"/>
        <w:outlineLvl w:val="9"/>
        <w:rPr>
          <w:rFonts w:cs="Times New Roman"/>
        </w:rPr>
      </w:pPr>
    </w:p>
    <w:sectPr>
      <w:pgSz w:w="11906" w:h="16838"/>
      <w:pgMar w:top="2098" w:right="1474" w:bottom="1984" w:left="1587" w:header="851" w:footer="1587" w:gutter="0"/>
      <w:paperSrc w:first="0" w:oth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paragraph" w:customStyle="1" w:styleId="2">
    <w:name w:val="BodyText"/>
    <w:basedOn w:val="1"/>
    <w:qFormat/>
    <w:uiPriority w:val="99"/>
    <w:pPr>
      <w:spacing w:after="120"/>
      <w:textAlignment w:val="baseline"/>
    </w:pPr>
    <w:rPr>
      <w:rFonts w:eastAsia="宋体"/>
      <w:sz w:val="32"/>
      <w:szCs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rPr>
  </w:style>
  <w:style w:type="character" w:styleId="6">
    <w:name w:val="page number"/>
    <w:basedOn w:val="5"/>
    <w:qFormat/>
    <w:uiPriority w:val="99"/>
    <w:rPr/>
  </w:style>
  <w:style w:type="paragraph" w:customStyle="1" w:styleId="7">
    <w:name w:val="List Paragraph"/>
    <w:basedOn w:val="1"/>
    <w:qFormat/>
    <w:uiPriority w:val="99"/>
    <w:pPr>
      <w:ind w:firstLine="420" w:firstLineChars="200"/>
    </w:pPr>
    <w:rPr>
      <w:rFonts w:ascii="Calibri" w:hAnsi="Calibri" w:cs="Calibri"/>
    </w:rPr>
  </w:style>
  <w:style w:type="character" w:customStyle="1" w:styleId="8">
    <w:name w:val="Footer Char"/>
    <w:basedOn w:val="5"/>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天晟网络</Company>
  <Pages>7</Pages>
  <Words>2737</Words>
  <Characters>2896</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2022-09-18T23:54:00Z</dcterms:created>
  <dc:creator>Administrator</dc:creator>
  <cp:lastModifiedBy>Administrator</cp:lastModifiedBy>
  <dcterms:modified xsi:type="dcterms:W3CDTF">2024-11-29T11:07:17Z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196174E4433C4B959BF07304D6A9950E</vt:lpwstr>
  </property>
</Properties>
</file>